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elha"/>
        <w:tblW w:w="10304" w:type="dxa"/>
        <w:jc w:val="center"/>
        <w:tblLook w:val="04A0" w:firstRow="1" w:lastRow="0" w:firstColumn="1" w:lastColumn="0" w:noHBand="0" w:noVBand="1"/>
      </w:tblPr>
      <w:tblGrid>
        <w:gridCol w:w="5152"/>
        <w:gridCol w:w="5152"/>
      </w:tblGrid>
      <w:tr w:rsidR="002F731E" w:rsidRPr="00D85499" w14:paraId="5B808427" w14:textId="4BA404DC" w:rsidTr="005A2E99">
        <w:trPr>
          <w:trHeight w:val="454"/>
          <w:jc w:val="center"/>
        </w:trPr>
        <w:tc>
          <w:tcPr>
            <w:tcW w:w="10304" w:type="dxa"/>
            <w:gridSpan w:val="2"/>
            <w:shd w:val="clear" w:color="auto" w:fill="235738" w:themeFill="text2"/>
            <w:vAlign w:val="center"/>
          </w:tcPr>
          <w:p w14:paraId="6E5B3CB1" w14:textId="53313FE3" w:rsidR="002F731E" w:rsidRPr="00D85499" w:rsidRDefault="002F731E" w:rsidP="00445E20">
            <w:pPr>
              <w:jc w:val="center"/>
              <w:rPr>
                <w:rStyle w:val="Forte"/>
                <w:rFonts w:ascii="Calibri" w:hAnsi="Calibri" w:cs="Calibri"/>
                <w:color w:val="FFFFFF" w:themeColor="background1"/>
              </w:rPr>
            </w:pPr>
            <w:r w:rsidRPr="00D85499">
              <w:rPr>
                <w:rStyle w:val="Forte"/>
                <w:rFonts w:ascii="Calibri" w:hAnsi="Calibri" w:cs="Calibri"/>
                <w:color w:val="FFFFFF" w:themeColor="background1"/>
              </w:rPr>
              <w:t>GERAL</w:t>
            </w:r>
          </w:p>
        </w:tc>
      </w:tr>
      <w:tr w:rsidR="00827D8F" w:rsidRPr="00D85499" w14:paraId="6F7C6B6B" w14:textId="3D344B29" w:rsidTr="00532E09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1A343D49" w14:textId="5C82EE1B" w:rsidR="00827D8F" w:rsidRPr="00D85499" w:rsidRDefault="00827D8F" w:rsidP="00827D8F">
            <w:pPr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Código Penal</w:t>
            </w:r>
            <w:r w:rsidRPr="00D85499">
              <w:rPr>
                <w:rStyle w:val="Forte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,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 aprovado pelo </w:t>
            </w:r>
            <w:r w:rsidRPr="00D8549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Decreto-Lei nº 400/82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de 23 de setembro e subsequentes alterações e republicações.</w:t>
            </w:r>
          </w:p>
        </w:tc>
      </w:tr>
      <w:tr w:rsidR="00827D8F" w:rsidRPr="00D85499" w14:paraId="7A50CD49" w14:textId="611FE7BE" w:rsidTr="00532E09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200A5624" w14:textId="139D9BF5" w:rsidR="00827D8F" w:rsidRPr="00D85499" w:rsidRDefault="00827D8F" w:rsidP="00827D8F">
            <w:pPr>
              <w:jc w:val="both"/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Decreto-Lei nº 28/84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de 20 de janeiro, que estabelece o regime em vigor em matéria de infrações antieconómicas e contra a saúde pública.</w:t>
            </w:r>
          </w:p>
        </w:tc>
      </w:tr>
      <w:tr w:rsidR="00827D8F" w:rsidRPr="00D85499" w14:paraId="25FC7C18" w14:textId="47976F0E" w:rsidTr="00F82112">
        <w:trPr>
          <w:trHeight w:val="907"/>
          <w:jc w:val="center"/>
        </w:trPr>
        <w:tc>
          <w:tcPr>
            <w:tcW w:w="10304" w:type="dxa"/>
            <w:gridSpan w:val="2"/>
            <w:vAlign w:val="center"/>
          </w:tcPr>
          <w:p w14:paraId="178C4CF9" w14:textId="67D7D15F" w:rsidR="00827D8F" w:rsidRPr="00D85499" w:rsidRDefault="00827D8F" w:rsidP="00827D8F">
            <w:pPr>
              <w:rPr>
                <w:rFonts w:ascii="Calibri" w:hAnsi="Calibri" w:cs="Calibri"/>
              </w:rPr>
            </w:pPr>
            <w:hyperlink r:id="rId7" w:tgtFrame="_blank" w:history="1">
              <w:r w:rsidRPr="00D85499">
                <w:rPr>
                  <w:rStyle w:val="Forte"/>
                  <w:rFonts w:ascii="Calibri" w:hAnsi="Calibri" w:cs="Calibri"/>
                  <w:color w:val="000000" w:themeColor="text1"/>
                  <w:sz w:val="20"/>
                  <w:szCs w:val="20"/>
                  <w:shd w:val="clear" w:color="auto" w:fill="FFFFFF"/>
                </w:rPr>
                <w:t>Regulamento (CE) nº 178/2002</w:t>
              </w:r>
            </w:hyperlink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do Parlamento Europeu e do Conselho, de 28 de janeiro de 2002, que determina os princípios e normas gerais da legislação alimentar, cria a</w:t>
            </w:r>
            <w:r w:rsidRPr="00D8549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Autoridade Europeia para a Segurança dos Alimentos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 e estabelece procedimentos em matéria de segurança dos géneros alimentícios.</w:t>
            </w:r>
          </w:p>
        </w:tc>
      </w:tr>
      <w:tr w:rsidR="00BE3C38" w:rsidRPr="00D85499" w14:paraId="0239C7BA" w14:textId="54DA063E" w:rsidTr="005A2E99">
        <w:trPr>
          <w:trHeight w:val="454"/>
          <w:jc w:val="center"/>
        </w:trPr>
        <w:tc>
          <w:tcPr>
            <w:tcW w:w="10304" w:type="dxa"/>
            <w:gridSpan w:val="2"/>
            <w:shd w:val="clear" w:color="auto" w:fill="235738" w:themeFill="text2"/>
            <w:vAlign w:val="center"/>
          </w:tcPr>
          <w:p w14:paraId="4B2E4B8B" w14:textId="5D7022B9" w:rsidR="00BE3C38" w:rsidRPr="00D85499" w:rsidRDefault="00C621F4" w:rsidP="00445E20">
            <w:pPr>
              <w:jc w:val="center"/>
              <w:rPr>
                <w:rStyle w:val="Forte"/>
                <w:rFonts w:ascii="Calibri" w:hAnsi="Calibri" w:cs="Calibri"/>
                <w:color w:val="FFFFFF" w:themeColor="background1"/>
              </w:rPr>
            </w:pPr>
            <w:r w:rsidRPr="00D85499">
              <w:rPr>
                <w:rStyle w:val="Forte"/>
                <w:rFonts w:ascii="Calibri" w:hAnsi="Calibri" w:cs="Calibri"/>
                <w:color w:val="FFFFFF" w:themeColor="background1"/>
              </w:rPr>
              <w:t>HIGIENE DOS GÉNEROS ALIMENTÍCIOS E HACCP</w:t>
            </w:r>
          </w:p>
        </w:tc>
      </w:tr>
      <w:tr w:rsidR="00827D8F" w:rsidRPr="00D85499" w14:paraId="619C744D" w14:textId="4A14F73A" w:rsidTr="00532E09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13658F31" w14:textId="77777777" w:rsidR="00827D8F" w:rsidRPr="00D85499" w:rsidRDefault="00827D8F" w:rsidP="004769B5">
            <w:pPr>
              <w:pStyle w:val="Ttulo1"/>
              <w:spacing w:before="0" w:beforeAutospacing="0" w:after="0" w:afterAutospacing="0" w:line="0" w:lineRule="auto"/>
              <w:rPr>
                <w:rFonts w:ascii="Calibri" w:hAnsi="Calibri" w:cs="Calibri"/>
                <w:color w:val="272B30"/>
              </w:rPr>
            </w:pPr>
            <w:r w:rsidRPr="00D85499">
              <w:rPr>
                <w:rStyle w:val="heading1"/>
                <w:rFonts w:ascii="Calibri" w:hAnsi="Calibri" w:cs="Calibri"/>
                <w:color w:val="272B30"/>
                <w:sz w:val="30"/>
                <w:szCs w:val="30"/>
              </w:rPr>
              <w:t>Decreto-Lei n.º 306/2007, de 27 de agosto</w:t>
            </w:r>
          </w:p>
          <w:p w14:paraId="215D3CD8" w14:textId="2E73BA61" w:rsidR="00827D8F" w:rsidRPr="00D85499" w:rsidRDefault="00827D8F" w:rsidP="00827D8F">
            <w:pPr>
              <w:jc w:val="both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Regulamento (CE) nº 852/2004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do Parlamento Europeu e do Conselho, de 29 de abril de 2004, relativo à higiene dos géneros alimentícios.</w:t>
            </w:r>
          </w:p>
        </w:tc>
      </w:tr>
      <w:tr w:rsidR="00827D8F" w:rsidRPr="00D85499" w14:paraId="7648DF05" w14:textId="10F3FCF8" w:rsidTr="00510134">
        <w:trPr>
          <w:trHeight w:val="907"/>
          <w:jc w:val="center"/>
        </w:trPr>
        <w:tc>
          <w:tcPr>
            <w:tcW w:w="10304" w:type="dxa"/>
            <w:gridSpan w:val="2"/>
            <w:vAlign w:val="center"/>
          </w:tcPr>
          <w:p w14:paraId="7B3C690B" w14:textId="562605A5" w:rsidR="00827D8F" w:rsidRPr="00D85499" w:rsidRDefault="00827D8F" w:rsidP="00827D8F">
            <w:pPr>
              <w:jc w:val="both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Regulamento (UE) 2021/382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 da Comissão, de 3 de março de 2021, que altera os anexos do Regulamento (CE) n.º 852/2004 do Parlamento Europeu e do Conselho relativo à higiene dos géneros alimentícios no que se refere à gestão de alergénios alimentares, à redistribuição dos alimentos e à cultura de segurança dos alimentos.</w:t>
            </w:r>
          </w:p>
        </w:tc>
      </w:tr>
      <w:tr w:rsidR="00827D8F" w:rsidRPr="00D85499" w14:paraId="183A9D3F" w14:textId="351809E7" w:rsidTr="00532E09">
        <w:trPr>
          <w:trHeight w:val="454"/>
          <w:jc w:val="center"/>
        </w:trPr>
        <w:tc>
          <w:tcPr>
            <w:tcW w:w="10304" w:type="dxa"/>
            <w:gridSpan w:val="2"/>
            <w:vAlign w:val="center"/>
          </w:tcPr>
          <w:p w14:paraId="7640C333" w14:textId="7CDA9691" w:rsidR="00827D8F" w:rsidRPr="00D85499" w:rsidRDefault="00827D8F" w:rsidP="00827D8F">
            <w:pPr>
              <w:jc w:val="both"/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Portaria nº 149/88,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 de 9 de março, que fixa as regras de asseio e higiene a observar na manipulação de alimentos.</w:t>
            </w:r>
          </w:p>
        </w:tc>
      </w:tr>
      <w:tr w:rsidR="00827D8F" w:rsidRPr="00D85499" w14:paraId="2BF308DF" w14:textId="2D8D6507" w:rsidTr="00532E09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017B7E13" w14:textId="77777777" w:rsidR="00827D8F" w:rsidRPr="00D85499" w:rsidRDefault="00827D8F" w:rsidP="00C621F4">
            <w:pPr>
              <w:jc w:val="both"/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Decreto-Lei nº 113/2006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de 12 de junho, que assegura a execução e garante o cumprimento do Regulamento (CE) nº 852/2004, de 29 de abril.</w:t>
            </w:r>
          </w:p>
          <w:p w14:paraId="79A04DE1" w14:textId="77777777" w:rsidR="00827D8F" w:rsidRPr="00D85499" w:rsidRDefault="00827D8F" w:rsidP="00C621F4">
            <w:pPr>
              <w:shd w:val="clear" w:color="auto" w:fill="FFFFFF"/>
              <w:spacing w:line="0" w:lineRule="auto"/>
              <w:jc w:val="both"/>
              <w:outlineLvl w:val="0"/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Estabelece as regras de execução, na ordem jurídica nacional, dos Regulamentos (CE) n.os 852/2004 e 853/2004, do Parlamento Europeu e do Conselho, de 29 de Abril, relativos à higiene dos géneros alimentícios e à higiene dos géneros alimentícios de origem animal, respectivamente</w:t>
            </w:r>
          </w:p>
          <w:p w14:paraId="15D8ACAC" w14:textId="77777777" w:rsidR="00827D8F" w:rsidRPr="00D85499" w:rsidRDefault="00827D8F" w:rsidP="00C621F4">
            <w:pPr>
              <w:pStyle w:val="Ttulo1"/>
              <w:shd w:val="clear" w:color="auto" w:fill="FFFFFF"/>
              <w:spacing w:before="0" w:beforeAutospacing="0" w:after="0" w:afterAutospacing="0" w:line="0" w:lineRule="auto"/>
              <w:jc w:val="both"/>
              <w:rPr>
                <w:rFonts w:ascii="Calibri" w:eastAsiaTheme="minorHAnsi" w:hAnsi="Calibri" w:cs="Calibri"/>
                <w:b w:val="0"/>
                <w:bCs w:val="0"/>
                <w:color w:val="000000" w:themeColor="text1"/>
                <w:kern w:val="0"/>
                <w:sz w:val="20"/>
                <w:szCs w:val="20"/>
                <w:shd w:val="clear" w:color="auto" w:fill="FFFFFF"/>
                <w:lang w:eastAsia="en-US"/>
              </w:rPr>
            </w:pPr>
            <w:r w:rsidRPr="00D85499">
              <w:rPr>
                <w:rFonts w:ascii="Calibri" w:eastAsiaTheme="minorHAnsi" w:hAnsi="Calibri" w:cs="Calibri"/>
                <w:b w:val="0"/>
                <w:bCs w:val="0"/>
                <w:color w:val="000000" w:themeColor="text1"/>
                <w:kern w:val="0"/>
                <w:sz w:val="20"/>
                <w:szCs w:val="20"/>
                <w:shd w:val="clear" w:color="auto" w:fill="FFFFFF"/>
                <w:lang w:eastAsia="en-US"/>
              </w:rPr>
              <w:t>Estabelece as regras de execução, na ordem jurídica nacional, dos Regulamentos (CE) n.os 852/2004 e 853/2004, do Parlamento Europeu e do Conselho, de 29 de Abril, relativos à higiene dos géneros alimentícios e à higiene dos géneros alimentícios de origem animal, respectivamente</w:t>
            </w:r>
          </w:p>
          <w:p w14:paraId="24698DCB" w14:textId="6E253FBF" w:rsidR="00827D8F" w:rsidRPr="00D85499" w:rsidRDefault="00827D8F" w:rsidP="00827D8F">
            <w:pPr>
              <w:pStyle w:val="Ttulo1"/>
              <w:shd w:val="clear" w:color="auto" w:fill="FFFFFF"/>
              <w:spacing w:before="0" w:beforeAutospacing="0" w:after="0" w:afterAutospacing="0" w:line="0" w:lineRule="auto"/>
              <w:jc w:val="both"/>
              <w:rPr>
                <w:rStyle w:val="Forte"/>
                <w:rFonts w:ascii="Calibri" w:eastAsiaTheme="minorHAnsi" w:hAnsi="Calibri" w:cs="Calibri"/>
                <w:color w:val="000000" w:themeColor="text1"/>
                <w:kern w:val="0"/>
                <w:sz w:val="20"/>
                <w:szCs w:val="20"/>
                <w:shd w:val="clear" w:color="auto" w:fill="FFFFFF"/>
                <w:lang w:eastAsia="en-US"/>
              </w:rPr>
            </w:pPr>
            <w:r w:rsidRPr="00D85499">
              <w:rPr>
                <w:rFonts w:ascii="Calibri" w:eastAsiaTheme="minorHAnsi" w:hAnsi="Calibri" w:cs="Calibri"/>
                <w:b w:val="0"/>
                <w:bCs w:val="0"/>
                <w:color w:val="000000" w:themeColor="text1"/>
                <w:kern w:val="0"/>
                <w:sz w:val="20"/>
                <w:szCs w:val="20"/>
                <w:shd w:val="clear" w:color="auto" w:fill="FFFFFF"/>
                <w:lang w:eastAsia="en-US"/>
              </w:rPr>
              <w:t>Estabelece as regras de execução, na ordem jurídica nacional, dos Regulamentos (CE) n.os 852/2004 e 853/2004, do Parlamento Europeu e do Conselho, de 29 de Abril, relativos à higiene dos géneros alimentícios e à higiene dos géneros alimentícios de origem animal, respectivamente</w:t>
            </w:r>
          </w:p>
        </w:tc>
      </w:tr>
      <w:tr w:rsidR="004769B5" w:rsidRPr="00D85499" w14:paraId="3C3B61FE" w14:textId="00716CD5" w:rsidTr="005A2E99">
        <w:trPr>
          <w:trHeight w:val="454"/>
          <w:jc w:val="center"/>
        </w:trPr>
        <w:tc>
          <w:tcPr>
            <w:tcW w:w="10304" w:type="dxa"/>
            <w:gridSpan w:val="2"/>
            <w:shd w:val="clear" w:color="auto" w:fill="235738" w:themeFill="text2"/>
            <w:vAlign w:val="center"/>
          </w:tcPr>
          <w:p w14:paraId="1A68D0D1" w14:textId="7C3B0A37" w:rsidR="004769B5" w:rsidRPr="00D85499" w:rsidRDefault="004769B5" w:rsidP="00445E20">
            <w:pPr>
              <w:jc w:val="center"/>
              <w:rPr>
                <w:rStyle w:val="Forte"/>
                <w:rFonts w:ascii="Calibri" w:hAnsi="Calibri" w:cs="Calibri"/>
                <w:color w:val="FFFFFF" w:themeColor="background1"/>
              </w:rPr>
            </w:pPr>
            <w:r w:rsidRPr="00D85499">
              <w:rPr>
                <w:rStyle w:val="Forte"/>
                <w:rFonts w:ascii="Calibri" w:hAnsi="Calibri" w:cs="Calibri"/>
                <w:color w:val="FFFFFF" w:themeColor="background1"/>
              </w:rPr>
              <w:t>ÁGUA DE CONSUMO HUMANO</w:t>
            </w:r>
          </w:p>
        </w:tc>
      </w:tr>
      <w:tr w:rsidR="00827D8F" w:rsidRPr="00D85499" w14:paraId="0C62CB62" w14:textId="421FA690" w:rsidTr="00532E09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3DBDF703" w14:textId="77777777" w:rsidR="00827D8F" w:rsidRPr="00D85499" w:rsidRDefault="00827D8F" w:rsidP="004769B5">
            <w:pPr>
              <w:pStyle w:val="Ttulo1"/>
              <w:spacing w:before="0" w:beforeAutospacing="0" w:after="0" w:afterAutospacing="0" w:line="0" w:lineRule="auto"/>
              <w:rPr>
                <w:rFonts w:ascii="Calibri" w:hAnsi="Calibri" w:cs="Calibri"/>
                <w:color w:val="272B30"/>
              </w:rPr>
            </w:pPr>
            <w:r w:rsidRPr="00D85499">
              <w:rPr>
                <w:rStyle w:val="heading1"/>
                <w:rFonts w:ascii="Calibri" w:hAnsi="Calibri" w:cs="Calibri"/>
                <w:color w:val="272B30"/>
                <w:sz w:val="30"/>
                <w:szCs w:val="30"/>
              </w:rPr>
              <w:t>Decreto-Lei n.º 306/2007, de 27 de agosto</w:t>
            </w:r>
          </w:p>
          <w:p w14:paraId="3BBA0229" w14:textId="77777777" w:rsidR="00827D8F" w:rsidRPr="00D85499" w:rsidRDefault="00827D8F" w:rsidP="004769B5">
            <w:pPr>
              <w:pStyle w:val="Ttulo1"/>
              <w:spacing w:before="0" w:beforeAutospacing="0" w:after="0" w:afterAutospacing="0" w:line="0" w:lineRule="auto"/>
              <w:rPr>
                <w:rFonts w:ascii="Calibri" w:hAnsi="Calibri" w:cs="Calibri"/>
                <w:color w:val="272B30"/>
              </w:rPr>
            </w:pPr>
            <w:r w:rsidRPr="00D85499">
              <w:rPr>
                <w:rStyle w:val="heading1"/>
                <w:rFonts w:ascii="Calibri" w:hAnsi="Calibri" w:cs="Calibri"/>
                <w:color w:val="272B30"/>
                <w:sz w:val="30"/>
                <w:szCs w:val="30"/>
              </w:rPr>
              <w:t>Decreto-Lei n.º 306/2007, de 27 de agosto</w:t>
            </w:r>
          </w:p>
          <w:p w14:paraId="69F1B117" w14:textId="77777777" w:rsidR="00827D8F" w:rsidRPr="00D85499" w:rsidRDefault="00827D8F" w:rsidP="004769B5">
            <w:pPr>
              <w:pStyle w:val="Ttulo1"/>
              <w:spacing w:before="0" w:beforeAutospacing="0" w:after="0" w:afterAutospacing="0" w:line="0" w:lineRule="auto"/>
              <w:rPr>
                <w:rFonts w:ascii="Calibri" w:hAnsi="Calibri" w:cs="Calibri"/>
                <w:color w:val="272B30"/>
              </w:rPr>
            </w:pPr>
            <w:r w:rsidRPr="00D85499">
              <w:rPr>
                <w:rStyle w:val="heading1"/>
                <w:rFonts w:ascii="Calibri" w:hAnsi="Calibri" w:cs="Calibri"/>
                <w:color w:val="272B30"/>
                <w:sz w:val="30"/>
                <w:szCs w:val="30"/>
              </w:rPr>
              <w:t>Decreto-Lei n.º 306/2007, de 27 de agosto</w:t>
            </w:r>
          </w:p>
          <w:p w14:paraId="7823A328" w14:textId="77777777" w:rsidR="00827D8F" w:rsidRPr="00D85499" w:rsidRDefault="00827D8F" w:rsidP="004769B5">
            <w:pPr>
              <w:pStyle w:val="Ttulo1"/>
              <w:spacing w:before="0" w:beforeAutospacing="0" w:after="0" w:afterAutospacing="0" w:line="0" w:lineRule="auto"/>
              <w:rPr>
                <w:rFonts w:ascii="Calibri" w:hAnsi="Calibri" w:cs="Calibri"/>
                <w:color w:val="272B30"/>
              </w:rPr>
            </w:pPr>
            <w:r w:rsidRPr="00D85499">
              <w:rPr>
                <w:rStyle w:val="heading1"/>
                <w:rFonts w:ascii="Calibri" w:hAnsi="Calibri" w:cs="Calibri"/>
                <w:color w:val="272B30"/>
                <w:sz w:val="30"/>
                <w:szCs w:val="30"/>
              </w:rPr>
              <w:t>Decreto-Lei n.º 306/2007, de 27 de agosto</w:t>
            </w:r>
          </w:p>
          <w:p w14:paraId="0A3733A4" w14:textId="77777777" w:rsidR="00827D8F" w:rsidRPr="00D85499" w:rsidRDefault="00827D8F" w:rsidP="004769B5">
            <w:pPr>
              <w:spacing w:line="0" w:lineRule="auto"/>
              <w:outlineLvl w:val="0"/>
              <w:rPr>
                <w:rFonts w:ascii="Calibri" w:eastAsia="Times New Roman" w:hAnsi="Calibri" w:cs="Calibri"/>
                <w:b/>
                <w:bCs/>
                <w:color w:val="272B30"/>
                <w:kern w:val="36"/>
                <w:sz w:val="48"/>
                <w:szCs w:val="48"/>
                <w:lang w:eastAsia="pt-PT"/>
              </w:rPr>
            </w:pPr>
            <w:r w:rsidRPr="00D85499">
              <w:rPr>
                <w:rFonts w:ascii="Calibri" w:eastAsia="Times New Roman" w:hAnsi="Calibri" w:cs="Calibri"/>
                <w:b/>
                <w:bCs/>
                <w:color w:val="272B30"/>
                <w:kern w:val="36"/>
                <w:sz w:val="30"/>
                <w:szCs w:val="30"/>
                <w:lang w:eastAsia="pt-PT"/>
              </w:rPr>
              <w:t>Decreto-Lei n.º 306/2007, de 27 de agosto</w:t>
            </w:r>
          </w:p>
          <w:p w14:paraId="5345AFFA" w14:textId="53F947B0" w:rsidR="00827D8F" w:rsidRPr="00D85499" w:rsidRDefault="00827D8F" w:rsidP="00827D8F">
            <w:pPr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Decreto-Lei nº </w:t>
            </w:r>
            <w:r w:rsidR="007E60DD"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69</w:t>
            </w:r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/2</w:t>
            </w:r>
            <w:r w:rsidR="007E60DD"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023</w:t>
            </w:r>
            <w:r w:rsidRPr="00D85499">
              <w:rPr>
                <w:rStyle w:val="Forte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, de 27 de agosto, que estabelece o regime da qualidade da água destinada ao consumo humano.</w:t>
            </w:r>
          </w:p>
        </w:tc>
      </w:tr>
      <w:tr w:rsidR="004769B5" w:rsidRPr="00D85499" w14:paraId="1F2BD86B" w14:textId="38DFAC5C" w:rsidTr="005A2E99">
        <w:trPr>
          <w:trHeight w:val="454"/>
          <w:jc w:val="center"/>
        </w:trPr>
        <w:tc>
          <w:tcPr>
            <w:tcW w:w="10304" w:type="dxa"/>
            <w:gridSpan w:val="2"/>
            <w:shd w:val="clear" w:color="auto" w:fill="235738" w:themeFill="text2"/>
            <w:vAlign w:val="center"/>
          </w:tcPr>
          <w:p w14:paraId="77E40E2D" w14:textId="6A4B64F7" w:rsidR="004769B5" w:rsidRPr="00D85499" w:rsidRDefault="004769B5" w:rsidP="00445E20">
            <w:pPr>
              <w:jc w:val="center"/>
              <w:rPr>
                <w:rStyle w:val="Forte"/>
                <w:rFonts w:ascii="Calibri" w:hAnsi="Calibri" w:cs="Calibri"/>
                <w:color w:val="FFFFFF" w:themeColor="background1"/>
              </w:rPr>
            </w:pPr>
            <w:r w:rsidRPr="00D85499">
              <w:rPr>
                <w:rStyle w:val="Forte"/>
                <w:rFonts w:ascii="Calibri" w:hAnsi="Calibri" w:cs="Calibri"/>
                <w:color w:val="FFFFFF" w:themeColor="background1"/>
              </w:rPr>
              <w:t>HORTÍCOLAS</w:t>
            </w:r>
          </w:p>
        </w:tc>
      </w:tr>
      <w:tr w:rsidR="00532E09" w:rsidRPr="00D85499" w14:paraId="1B7F6675" w14:textId="5931DA1F" w:rsidTr="003F4797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6889ABEE" w14:textId="240CD927" w:rsidR="00532E09" w:rsidRPr="00D85499" w:rsidRDefault="00532E09" w:rsidP="00532E09">
            <w:pPr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</w:pPr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Portaria nº 979/2000</w:t>
            </w:r>
            <w:r w:rsidRPr="00D85499">
              <w:rPr>
                <w:rStyle w:val="Forte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, de 12 de outubro, que f</w:t>
            </w:r>
            <w:r w:rsidRPr="00D85499">
              <w:rPr>
                <w:rStyle w:val="Forte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</w:rPr>
              <w:t>ixa as características de qualidade da batata de conservação e da batata-primor para consumo humano.</w:t>
            </w:r>
          </w:p>
        </w:tc>
      </w:tr>
      <w:tr w:rsidR="00532E09" w:rsidRPr="00D85499" w14:paraId="63835E63" w14:textId="0495B882" w:rsidTr="00DE2680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41BD60CF" w14:textId="77777777" w:rsidR="00532E09" w:rsidRPr="00D85499" w:rsidRDefault="00532E09" w:rsidP="00532E09">
            <w:pPr>
              <w:pStyle w:val="Ttulo1"/>
              <w:spacing w:before="0" w:beforeAutospacing="0" w:after="0" w:afterAutospacing="0" w:line="0" w:lineRule="auto"/>
              <w:rPr>
                <w:rFonts w:ascii="Calibri" w:hAnsi="Calibri" w:cs="Calibri"/>
                <w:color w:val="272B30"/>
              </w:rPr>
            </w:pPr>
            <w:r w:rsidRPr="00D85499">
              <w:rPr>
                <w:rStyle w:val="heading1"/>
                <w:rFonts w:ascii="Calibri" w:hAnsi="Calibri" w:cs="Calibri"/>
                <w:color w:val="272B30"/>
                <w:sz w:val="30"/>
                <w:szCs w:val="30"/>
              </w:rPr>
              <w:t>Portaria n.º 220/89, de 16 de março</w:t>
            </w:r>
          </w:p>
          <w:p w14:paraId="1937ACFC" w14:textId="77777777" w:rsidR="00532E09" w:rsidRPr="00D85499" w:rsidRDefault="00532E09" w:rsidP="00532E09">
            <w:pPr>
              <w:pStyle w:val="Ttulo1"/>
              <w:spacing w:before="0" w:beforeAutospacing="0" w:after="0" w:afterAutospacing="0" w:line="0" w:lineRule="auto"/>
              <w:rPr>
                <w:rFonts w:ascii="Calibri" w:hAnsi="Calibri" w:cs="Calibri"/>
                <w:color w:val="272B30"/>
              </w:rPr>
            </w:pPr>
            <w:r w:rsidRPr="00D85499">
              <w:rPr>
                <w:rStyle w:val="heading1"/>
                <w:rFonts w:ascii="Calibri" w:hAnsi="Calibri" w:cs="Calibri"/>
                <w:color w:val="272B30"/>
                <w:sz w:val="30"/>
                <w:szCs w:val="30"/>
              </w:rPr>
              <w:t>Portaria n.º 220/89, de 16 de março</w:t>
            </w:r>
          </w:p>
          <w:p w14:paraId="7ED40E0B" w14:textId="07F3F37A" w:rsidR="00532E09" w:rsidRPr="00D85499" w:rsidRDefault="00532E09" w:rsidP="00532E09">
            <w:pPr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</w:pPr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</w:rPr>
              <w:t>Portaria n.º 220/89</w:t>
            </w:r>
            <w:r w:rsidRPr="00D85499">
              <w:rPr>
                <w:rStyle w:val="Forte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</w:rPr>
              <w:t>, de 16 de março,</w:t>
            </w:r>
            <w:r w:rsidRPr="00D85499">
              <w:rPr>
                <w:rStyle w:val="Forte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 xml:space="preserve"> que f</w:t>
            </w:r>
            <w:r w:rsidRPr="00D85499">
              <w:rPr>
                <w:rStyle w:val="Forte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</w:rPr>
              <w:t>ixa normas de qualidade na comercialização de mais algumas espécies de produtos hortícolas, como a cebola, cenoura, couve-flor, pepino e pimento doce.</w:t>
            </w:r>
          </w:p>
        </w:tc>
      </w:tr>
      <w:tr w:rsidR="00595DB2" w:rsidRPr="00D85499" w14:paraId="32CC3965" w14:textId="2F20B0FD" w:rsidTr="005A2E99">
        <w:trPr>
          <w:trHeight w:val="454"/>
          <w:jc w:val="center"/>
        </w:trPr>
        <w:tc>
          <w:tcPr>
            <w:tcW w:w="10304" w:type="dxa"/>
            <w:gridSpan w:val="2"/>
            <w:shd w:val="clear" w:color="auto" w:fill="235738" w:themeFill="text2"/>
            <w:vAlign w:val="center"/>
          </w:tcPr>
          <w:p w14:paraId="1432A5D1" w14:textId="17A2F928" w:rsidR="00595DB2" w:rsidRPr="00D85499" w:rsidRDefault="00595DB2" w:rsidP="00445E20">
            <w:pPr>
              <w:jc w:val="center"/>
              <w:rPr>
                <w:rStyle w:val="Forte"/>
                <w:rFonts w:ascii="Calibri" w:hAnsi="Calibri" w:cs="Calibri"/>
                <w:color w:val="FFFFFF" w:themeColor="background1"/>
              </w:rPr>
            </w:pPr>
            <w:r w:rsidRPr="00D85499">
              <w:rPr>
                <w:rStyle w:val="Forte"/>
                <w:rFonts w:ascii="Calibri" w:hAnsi="Calibri" w:cs="Calibri"/>
                <w:color w:val="FFFFFF" w:themeColor="background1"/>
              </w:rPr>
              <w:t>ROTULAGEM</w:t>
            </w:r>
          </w:p>
        </w:tc>
      </w:tr>
      <w:tr w:rsidR="00532E09" w:rsidRPr="00D85499" w14:paraId="1F7B21E9" w14:textId="196678B7" w:rsidTr="00532E09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0B31B3B0" w14:textId="04500471" w:rsidR="00532E09" w:rsidRPr="00D85499" w:rsidRDefault="00532E09" w:rsidP="00532E09">
            <w:pPr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Decreto-Lei nº 167/2004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de 7 de julho, que estabelece as normas a que obedece a rotulagem nutricional dos géneros alimentícios que se encontram no estado em que vão ser fornecidos ao consumidor final.</w:t>
            </w:r>
          </w:p>
        </w:tc>
      </w:tr>
      <w:tr w:rsidR="00532E09" w:rsidRPr="00D85499" w14:paraId="3743566F" w14:textId="0CC72B0D" w:rsidTr="00532E09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4FCB4978" w14:textId="71AE1BD8" w:rsidR="00532E09" w:rsidRPr="00D85499" w:rsidRDefault="00532E09" w:rsidP="00532E0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85499">
              <w:rPr>
                <w:rFonts w:ascii="Calibri" w:hAnsi="Calibri" w:cs="Calibri"/>
                <w:b/>
                <w:bCs/>
                <w:sz w:val="20"/>
                <w:szCs w:val="20"/>
              </w:rPr>
              <w:t>Regulamento (UE) nº 1169/2011</w:t>
            </w:r>
            <w:r w:rsidRPr="00D85499">
              <w:rPr>
                <w:rFonts w:ascii="Calibri" w:hAnsi="Calibri" w:cs="Calibri"/>
                <w:sz w:val="20"/>
                <w:szCs w:val="20"/>
              </w:rPr>
              <w:t xml:space="preserve"> do Parlamento Europeu e do Conselho, de 25 de outubro de 2011, relativo à prestação de informação aos consumidores sobre os géneros alimentícios.</w:t>
            </w:r>
          </w:p>
        </w:tc>
      </w:tr>
      <w:tr w:rsidR="00453308" w:rsidRPr="00D85499" w14:paraId="7F11F7EF" w14:textId="77777777" w:rsidTr="00532E09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5FF61860" w14:textId="2F223E1E" w:rsidR="00453308" w:rsidRPr="00D85499" w:rsidRDefault="00453308" w:rsidP="0045330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8549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Portaria n.º 162/2024/1, </w:t>
            </w:r>
            <w:r w:rsidRPr="00D85499">
              <w:rPr>
                <w:rFonts w:ascii="Calibri" w:hAnsi="Calibri" w:cs="Calibri"/>
                <w:sz w:val="20"/>
                <w:szCs w:val="20"/>
              </w:rPr>
              <w:t xml:space="preserve">de 11 de junho, </w:t>
            </w:r>
            <w:r w:rsidR="00C603DA" w:rsidRPr="00D85499">
              <w:rPr>
                <w:rFonts w:ascii="Calibri" w:hAnsi="Calibri" w:cs="Calibri"/>
                <w:sz w:val="20"/>
                <w:szCs w:val="20"/>
              </w:rPr>
              <w:t>determina</w:t>
            </w:r>
            <w:r w:rsidRPr="00D85499">
              <w:rPr>
                <w:rFonts w:ascii="Calibri" w:hAnsi="Calibri" w:cs="Calibri"/>
                <w:sz w:val="20"/>
                <w:szCs w:val="20"/>
              </w:rPr>
              <w:t xml:space="preserve"> que a adoção de qualquer sistema de rotulagem nutricional simplificado é opcional e de utilização voluntária pelos operadores económicos, e deve ter presente modelos adequados aos produtos ­alimentares portugueses.</w:t>
            </w:r>
            <w:r w:rsidRPr="00D85499">
              <w:rPr>
                <w:rFonts w:ascii="Calibri" w:hAnsi="Calibri" w:cs="Calibri"/>
              </w:rPr>
              <w:t xml:space="preserve"> </w:t>
            </w:r>
            <w:r w:rsidRPr="00D85499">
              <w:rPr>
                <w:rFonts w:ascii="Calibri" w:hAnsi="Calibri" w:cs="Calibri"/>
                <w:sz w:val="20"/>
                <w:szCs w:val="20"/>
              </w:rPr>
              <w:t>Compete à Direção-Geral de Alimentação e Veterinária (DGAV) a definição dos modelos adequados aos produtos ­alimentares portugueses.</w:t>
            </w:r>
          </w:p>
        </w:tc>
      </w:tr>
      <w:tr w:rsidR="0093309A" w:rsidRPr="00D85499" w14:paraId="6C0C1B6B" w14:textId="77777777" w:rsidTr="005A2E99">
        <w:trPr>
          <w:trHeight w:val="454"/>
          <w:jc w:val="center"/>
        </w:trPr>
        <w:tc>
          <w:tcPr>
            <w:tcW w:w="10304" w:type="dxa"/>
            <w:gridSpan w:val="2"/>
            <w:shd w:val="clear" w:color="auto" w:fill="235738" w:themeFill="text2"/>
            <w:vAlign w:val="center"/>
          </w:tcPr>
          <w:p w14:paraId="7FE0BEFE" w14:textId="0CB9157D" w:rsidR="0093309A" w:rsidRPr="00D85499" w:rsidRDefault="0093309A" w:rsidP="0093309A">
            <w:pPr>
              <w:jc w:val="center"/>
              <w:rPr>
                <w:rStyle w:val="Ttulo1Carter"/>
                <w:rFonts w:ascii="Calibri" w:eastAsiaTheme="minorHAnsi" w:hAnsi="Calibri" w:cs="Calibri"/>
                <w:noProof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Style w:val="Forte"/>
                <w:rFonts w:ascii="Calibri" w:hAnsi="Calibri" w:cs="Calibri"/>
                <w:color w:val="FFFFFF" w:themeColor="background1"/>
              </w:rPr>
              <w:t>CONTROLO DE EMM</w:t>
            </w:r>
          </w:p>
        </w:tc>
      </w:tr>
      <w:tr w:rsidR="00532E09" w:rsidRPr="00D85499" w14:paraId="23332A49" w14:textId="77777777" w:rsidTr="00C20E80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0BD91CD1" w14:textId="606BA3E8" w:rsidR="007E60DD" w:rsidRPr="00D85499" w:rsidRDefault="00532E09" w:rsidP="00006A1E">
            <w:pPr>
              <w:rPr>
                <w:rFonts w:ascii="Calibri" w:hAnsi="Calibri" w:cs="Calibri"/>
                <w:sz w:val="20"/>
                <w:szCs w:val="20"/>
                <w:lang w:eastAsia="pt-PT"/>
              </w:rPr>
            </w:pPr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Decreto-Lei nº 29/2022</w:t>
            </w:r>
            <w:r w:rsidRPr="00D85499">
              <w:rPr>
                <w:rStyle w:val="Forte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 xml:space="preserve"> de 7 de abril, que aprova o regime geral do controlo metrológico legal dos métodos e dos instrumentos de medição.</w:t>
            </w:r>
          </w:p>
        </w:tc>
      </w:tr>
      <w:tr w:rsidR="00532E09" w:rsidRPr="00D85499" w14:paraId="2BB36EDE" w14:textId="5C3C4927" w:rsidTr="00C20E80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0FCF465F" w14:textId="6465684F" w:rsidR="00532E09" w:rsidRPr="00D85499" w:rsidRDefault="00532E09" w:rsidP="00532E09">
            <w:pPr>
              <w:jc w:val="both"/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Portaria nº 211/2022 </w:t>
            </w:r>
            <w:r w:rsidRPr="00D85499">
              <w:rPr>
                <w:rStyle w:val="Forte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de 23 de agosto, que aprova o Regulamento Geral do Controlo Metrológico Legal dos Métodos e dos Instrumentos de Medição.</w:t>
            </w:r>
          </w:p>
        </w:tc>
      </w:tr>
      <w:tr w:rsidR="005C7F6A" w:rsidRPr="00D85499" w14:paraId="3B88243D" w14:textId="77777777" w:rsidTr="00C20E80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41497E89" w14:textId="360ED95B" w:rsidR="005C7F6A" w:rsidRPr="00D85499" w:rsidRDefault="005C7F6A" w:rsidP="00532E09">
            <w:pPr>
              <w:jc w:val="both"/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Portaria nº 84/2025/1, </w:t>
            </w:r>
            <w:r w:rsidRPr="005C7F6A">
              <w:rPr>
                <w:rStyle w:val="Forte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 xml:space="preserve">de 5 de março. Aprova o Regulamento </w:t>
            </w:r>
            <w:r w:rsidRPr="005C7F6A">
              <w:rPr>
                <w:rStyle w:val="Forte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</w:rPr>
              <w:t>do Controlo Metrológico Legal dos Instrumentos de Medição e Registo da Temperatura.</w:t>
            </w:r>
          </w:p>
        </w:tc>
      </w:tr>
      <w:tr w:rsidR="0093309A" w:rsidRPr="00D85499" w14:paraId="6BBBBD90" w14:textId="49A1B63B" w:rsidTr="005A2E99">
        <w:trPr>
          <w:trHeight w:val="454"/>
          <w:jc w:val="center"/>
        </w:trPr>
        <w:tc>
          <w:tcPr>
            <w:tcW w:w="10304" w:type="dxa"/>
            <w:gridSpan w:val="2"/>
            <w:shd w:val="clear" w:color="auto" w:fill="235738" w:themeFill="text2"/>
            <w:vAlign w:val="center"/>
          </w:tcPr>
          <w:p w14:paraId="5BD8D018" w14:textId="42B24BBB" w:rsidR="0093309A" w:rsidRPr="00D85499" w:rsidRDefault="0093309A" w:rsidP="0093309A">
            <w:pPr>
              <w:jc w:val="center"/>
              <w:rPr>
                <w:rStyle w:val="Forte"/>
                <w:rFonts w:ascii="Calibri" w:hAnsi="Calibri" w:cs="Calibri"/>
                <w:color w:val="FFFFFF" w:themeColor="background1"/>
              </w:rPr>
            </w:pPr>
            <w:r w:rsidRPr="00D85499">
              <w:rPr>
                <w:rStyle w:val="Forte"/>
                <w:rFonts w:ascii="Calibri" w:hAnsi="Calibri" w:cs="Calibri"/>
                <w:color w:val="FFFFFF" w:themeColor="background1"/>
              </w:rPr>
              <w:t>MATERIAIS E OBJETOS EM CONTACTO COM ALIMENTOS</w:t>
            </w:r>
          </w:p>
        </w:tc>
      </w:tr>
      <w:tr w:rsidR="00C20E80" w:rsidRPr="00D85499" w14:paraId="17826848" w14:textId="27B420AE" w:rsidTr="00C20E80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445685A2" w14:textId="6065D974" w:rsidR="00C20E80" w:rsidRPr="00D85499" w:rsidRDefault="00C20E80" w:rsidP="00C20E80">
            <w:pPr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lastRenderedPageBreak/>
              <w:t>Regulamento (CE) nº 1935/2004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 do Parlamento Europeu e do Conselho, de 27 de </w:t>
            </w:r>
            <w:r w:rsidR="00C603DA"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outubro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relativo a materiais e objetos destinados a entrar em contacto com os alimentos.</w:t>
            </w:r>
          </w:p>
        </w:tc>
      </w:tr>
      <w:tr w:rsidR="00C20E80" w:rsidRPr="00D85499" w14:paraId="4704BFE1" w14:textId="46516A33" w:rsidTr="00C20E80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3C63F1E8" w14:textId="105F48D6" w:rsidR="00C20E80" w:rsidRPr="00D85499" w:rsidRDefault="00C20E80" w:rsidP="00C20E80">
            <w:pPr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Regulamento (CE) nº 2023/2006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 da Comissão, de 22 de dezembro de 2006, relativo às boas práticas de fabrico de materiais e objetos destinados a entrar em contacto com os alimentos.</w:t>
            </w:r>
          </w:p>
        </w:tc>
      </w:tr>
      <w:tr w:rsidR="00151ABB" w:rsidRPr="00D85499" w14:paraId="51AA900C" w14:textId="77777777" w:rsidTr="00C20E80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39356D30" w14:textId="20898C0B" w:rsidR="00151ABB" w:rsidRPr="00D85499" w:rsidRDefault="00380B60" w:rsidP="00C20E8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Style w:val="Fort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Decreto-Lei nº 175/2007</w:t>
            </w:r>
            <w:r w:rsidRPr="00D85499">
              <w:rPr>
                <w:rStyle w:val="Forte"/>
                <w:rFonts w:ascii="Calibri" w:hAnsi="Calibri" w:cs="Calibri"/>
                <w:sz w:val="20"/>
                <w:szCs w:val="20"/>
              </w:rPr>
              <w:t xml:space="preserve"> </w:t>
            </w:r>
            <w:r w:rsidRPr="00D85499">
              <w:rPr>
                <w:rStyle w:val="Forte"/>
                <w:rFonts w:ascii="Calibri" w:hAnsi="Calibri" w:cs="Calibri"/>
                <w:b w:val="0"/>
                <w:bCs w:val="0"/>
                <w:sz w:val="20"/>
                <w:szCs w:val="20"/>
              </w:rPr>
              <w:t xml:space="preserve">de 8 de maio, </w:t>
            </w:r>
            <w:r w:rsidRPr="00D85499">
              <w:rPr>
                <w:rStyle w:val="Forte"/>
                <w:rFonts w:ascii="Calibri" w:hAnsi="Calibri" w:cs="Calibri"/>
                <w:b w:val="0"/>
                <w:bCs w:val="0"/>
                <w:color w:val="000000" w:themeColor="text1"/>
                <w:sz w:val="20"/>
                <w:szCs w:val="20"/>
              </w:rPr>
              <w:t>relativo aos materiais e objetos destinados a entrar em contacto com os alimentos.</w:t>
            </w:r>
          </w:p>
        </w:tc>
      </w:tr>
      <w:tr w:rsidR="00C20E80" w:rsidRPr="00D85499" w14:paraId="776F06FB" w14:textId="614420C7" w:rsidTr="00C20E80">
        <w:trPr>
          <w:trHeight w:val="624"/>
          <w:jc w:val="center"/>
        </w:trPr>
        <w:tc>
          <w:tcPr>
            <w:tcW w:w="10304" w:type="dxa"/>
            <w:gridSpan w:val="2"/>
            <w:vAlign w:val="center"/>
          </w:tcPr>
          <w:p w14:paraId="05FAC9C5" w14:textId="77777777" w:rsidR="00C20E80" w:rsidRPr="00D85499" w:rsidRDefault="00C20E80" w:rsidP="00C20E80">
            <w:pPr>
              <w:pStyle w:val="Ttulo1"/>
              <w:shd w:val="clear" w:color="auto" w:fill="FFFFFF"/>
              <w:spacing w:before="0" w:beforeAutospacing="0" w:after="0" w:afterAutospacing="0" w:line="0" w:lineRule="auto"/>
              <w:rPr>
                <w:rFonts w:ascii="Calibri" w:hAnsi="Calibri" w:cs="Calibri"/>
                <w:color w:val="272B30"/>
                <w:sz w:val="20"/>
                <w:szCs w:val="20"/>
              </w:rPr>
            </w:pPr>
            <w:r w:rsidRPr="00D85499">
              <w:rPr>
                <w:rStyle w:val="heading1"/>
                <w:rFonts w:ascii="Calibri" w:hAnsi="Calibri" w:cs="Calibri"/>
                <w:color w:val="272B30"/>
                <w:sz w:val="20"/>
                <w:szCs w:val="20"/>
              </w:rPr>
              <w:t>Estabelece as regras de execução, na ordem jurídica interna, do Regulamento (CE) n.º 1935/2004, do Parlamento Europeu e do Conselho, de 27 de Outubro, relativo aos materiais e objectos destinados a entrar em contacto com os alimentos, e revoga o Decreto-Lei n.º 193/88, de 30 de Maio</w:t>
            </w:r>
          </w:p>
          <w:p w14:paraId="0DAA67C9" w14:textId="7AC01FFE" w:rsidR="00C20E80" w:rsidRPr="00D85499" w:rsidRDefault="00380B60" w:rsidP="00C20E8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85499">
              <w:rPr>
                <w:rFonts w:ascii="Calibri" w:hAnsi="Calibri" w:cs="Calibri"/>
                <w:b/>
                <w:bCs/>
                <w:sz w:val="20"/>
                <w:szCs w:val="20"/>
              </w:rPr>
              <w:t>Regulamento (UE) nº 10/2011</w:t>
            </w:r>
            <w:r w:rsidRPr="00D85499">
              <w:rPr>
                <w:rFonts w:ascii="Calibri" w:hAnsi="Calibri" w:cs="Calibri"/>
                <w:sz w:val="20"/>
                <w:szCs w:val="20"/>
              </w:rPr>
              <w:t xml:space="preserve"> da Comissão, de 14 de janeiro de 2011, relativo aos materiais e objetos de matéria plástica destinados a entrar em contacto com os alimentos.</w:t>
            </w:r>
          </w:p>
        </w:tc>
      </w:tr>
      <w:tr w:rsidR="00380B60" w:rsidRPr="00D85499" w14:paraId="38DC15E6" w14:textId="5D5C364D" w:rsidTr="00C20E80">
        <w:trPr>
          <w:trHeight w:val="567"/>
          <w:jc w:val="center"/>
        </w:trPr>
        <w:tc>
          <w:tcPr>
            <w:tcW w:w="10304" w:type="dxa"/>
            <w:gridSpan w:val="2"/>
            <w:vAlign w:val="center"/>
          </w:tcPr>
          <w:p w14:paraId="359C0F3A" w14:textId="36EABC9A" w:rsidR="00AD11E5" w:rsidRPr="00D85499" w:rsidRDefault="00380B60" w:rsidP="00A676CF">
            <w:pP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Regulamento (CE)nº 2023/1442 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da Comissão</w:t>
            </w:r>
            <w:r w:rsidRPr="00D8549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de 11 de julho de 2023</w:t>
            </w:r>
            <w:r w:rsidR="00307FF4"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que altera o anexo I do Regulamento (UE) nº 10/2011, relativo aos materiais e objetos de matéria plástica destinados a entrar em contacto com os alimentos, no que diz respeito a alterações das autorizações de substâncias e à adição de novas substâncias.</w:t>
            </w:r>
          </w:p>
        </w:tc>
      </w:tr>
      <w:tr w:rsidR="003A6FF9" w:rsidRPr="00D85499" w14:paraId="57C5B198" w14:textId="77777777" w:rsidTr="00C20E80">
        <w:trPr>
          <w:trHeight w:val="567"/>
          <w:jc w:val="center"/>
        </w:trPr>
        <w:tc>
          <w:tcPr>
            <w:tcW w:w="10304" w:type="dxa"/>
            <w:gridSpan w:val="2"/>
            <w:vAlign w:val="center"/>
          </w:tcPr>
          <w:p w14:paraId="39D5BD23" w14:textId="5253D817" w:rsidR="003A6FF9" w:rsidRPr="00D85499" w:rsidRDefault="00B86943" w:rsidP="00A676CF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8694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Regulamento (UE) 2025/351</w:t>
            </w:r>
            <w:r w:rsidRPr="00B86943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,</w:t>
            </w:r>
            <w:r>
              <w:rPr>
                <w:rFonts w:ascii="Raleway" w:hAnsi="Raleway"/>
                <w:color w:val="212529"/>
                <w:sz w:val="21"/>
                <w:szCs w:val="21"/>
                <w:shd w:val="clear" w:color="auto" w:fill="FFFFFF"/>
              </w:rPr>
              <w:t xml:space="preserve"> </w:t>
            </w:r>
            <w:r w:rsidRPr="00B86943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de 21 de fevereiro, que altera o Regulamento (EU) 10/2011 relativo aos materiais e objetos de matéria plástica destinados a entrar em contacto com os alimentos, o Regulamento (EU) 2022/1616 relativo aos materiais e objetos de plástico reciclado destinados a entrar em contacto com os alimentos e o Regulamento (CE) 2023/2006 relativo às boas práticas de fabrico de materiais e objetos destinados a entrar em contacto com os alimentos. Revoga ainda o Regulamento (CE) 202/2008 relativo aos materiais e objetos de plástico reciclado destinados a entrar em contacto com os alimentos.</w:t>
            </w:r>
          </w:p>
        </w:tc>
      </w:tr>
      <w:tr w:rsidR="00380B60" w:rsidRPr="00D85499" w14:paraId="4DD090A7" w14:textId="3F00E316" w:rsidTr="000B10D4">
        <w:trPr>
          <w:trHeight w:val="454"/>
          <w:jc w:val="center"/>
        </w:trPr>
        <w:tc>
          <w:tcPr>
            <w:tcW w:w="10304" w:type="dxa"/>
            <w:gridSpan w:val="2"/>
            <w:shd w:val="clear" w:color="auto" w:fill="235738" w:themeFill="text2"/>
            <w:vAlign w:val="center"/>
          </w:tcPr>
          <w:p w14:paraId="2014939E" w14:textId="5362A823" w:rsidR="00380B60" w:rsidRPr="00D85499" w:rsidRDefault="00380B60" w:rsidP="00380B60">
            <w:pPr>
              <w:jc w:val="center"/>
              <w:rPr>
                <w:rStyle w:val="Forte"/>
                <w:rFonts w:ascii="Calibri" w:hAnsi="Calibri" w:cs="Calibri"/>
                <w:color w:val="FFFFFF" w:themeColor="background1"/>
              </w:rPr>
            </w:pPr>
            <w:r w:rsidRPr="00D85499">
              <w:rPr>
                <w:rStyle w:val="Forte"/>
                <w:rFonts w:ascii="Calibri" w:hAnsi="Calibri" w:cs="Calibri"/>
                <w:color w:val="FFFFFF" w:themeColor="background1"/>
              </w:rPr>
              <w:t>CONTROLO ANALÍTICO</w:t>
            </w:r>
          </w:p>
        </w:tc>
      </w:tr>
      <w:tr w:rsidR="00380B60" w:rsidRPr="00D85499" w14:paraId="1DA91512" w14:textId="506FD8F5" w:rsidTr="0005481C">
        <w:trPr>
          <w:trHeight w:val="567"/>
          <w:jc w:val="center"/>
        </w:trPr>
        <w:tc>
          <w:tcPr>
            <w:tcW w:w="10304" w:type="dxa"/>
            <w:gridSpan w:val="2"/>
            <w:vAlign w:val="center"/>
          </w:tcPr>
          <w:p w14:paraId="6DE3108F" w14:textId="0FB5E442" w:rsidR="00380B60" w:rsidRPr="00D85499" w:rsidRDefault="00380B60" w:rsidP="00380B60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Regulamento (CE) nº 396/2005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 do Parlamento Europeu e do Conselho, de 23 de </w:t>
            </w:r>
            <w:r w:rsidR="00C603DA"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fevereiro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 de 2005, relativo aos limites máximos de resíduos de pesticidas no interior e à superfície dos géneros alimentícios.</w:t>
            </w:r>
          </w:p>
        </w:tc>
      </w:tr>
      <w:tr w:rsidR="00380B60" w:rsidRPr="00D85499" w14:paraId="42CE6353" w14:textId="77777777" w:rsidTr="0005481C">
        <w:trPr>
          <w:trHeight w:val="567"/>
          <w:jc w:val="center"/>
        </w:trPr>
        <w:tc>
          <w:tcPr>
            <w:tcW w:w="10304" w:type="dxa"/>
            <w:gridSpan w:val="2"/>
            <w:vAlign w:val="center"/>
          </w:tcPr>
          <w:p w14:paraId="7E0C8EC7" w14:textId="5D99138F" w:rsidR="00380B60" w:rsidRPr="00D85499" w:rsidRDefault="00380B60" w:rsidP="00A26138">
            <w:pPr>
              <w:rPr>
                <w:rStyle w:val="Ttulo1Carter"/>
                <w:rFonts w:ascii="Calibri" w:eastAsiaTheme="minorHAnsi" w:hAnsi="Calibri" w:cs="Calibri"/>
                <w:noProof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shd w:val="clear" w:color="auto" w:fill="FFFFFF"/>
              </w:rPr>
              <w:t xml:space="preserve">Regulamento (CE) </w:t>
            </w:r>
            <w:r w:rsidR="00A26138" w:rsidRPr="00D85499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shd w:val="clear" w:color="auto" w:fill="FFFFFF"/>
              </w:rPr>
              <w:t xml:space="preserve">nº 1441/2007 </w:t>
            </w:r>
            <w:r w:rsidR="00A26138" w:rsidRPr="00D85499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da Comissão de 5 de dezembro de 2007 que altera o Regulamento (CE) nº 2073/2005 relativo a critérios microbiológicos aplicáveis aos géneros alimentícios.</w:t>
            </w:r>
          </w:p>
        </w:tc>
      </w:tr>
      <w:tr w:rsidR="001B57E5" w:rsidRPr="00D85499" w14:paraId="7F3F47A6" w14:textId="77777777" w:rsidTr="0005481C">
        <w:trPr>
          <w:trHeight w:val="567"/>
          <w:jc w:val="center"/>
        </w:trPr>
        <w:tc>
          <w:tcPr>
            <w:tcW w:w="10304" w:type="dxa"/>
            <w:gridSpan w:val="2"/>
            <w:vAlign w:val="center"/>
          </w:tcPr>
          <w:p w14:paraId="1A5D1019" w14:textId="35FC4CB6" w:rsidR="001B57E5" w:rsidRPr="00D85499" w:rsidRDefault="001B57E5" w:rsidP="00A26138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Regulamento (</w:t>
            </w:r>
            <w:r w:rsidR="00237A34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UE</w:t>
            </w:r>
            <w:r w:rsidRPr="00D85499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) nº 2020/749 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da Comissão</w:t>
            </w:r>
            <w:r w:rsidRPr="00D85499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D85499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>de 4 de junho de 2020 que altera o anexo III do Regulamento (CE) nº 396/2005 do Parlamento Europeu e do Conselho no que diz respeito aos limites máximos de resíduos de clorato no interior e à superfície de determinados produtos.</w:t>
            </w:r>
          </w:p>
        </w:tc>
      </w:tr>
      <w:tr w:rsidR="00380B60" w:rsidRPr="00D85499" w14:paraId="162D547C" w14:textId="3AFF2AD2" w:rsidTr="0005481C">
        <w:trPr>
          <w:trHeight w:val="567"/>
          <w:jc w:val="center"/>
        </w:trPr>
        <w:tc>
          <w:tcPr>
            <w:tcW w:w="10304" w:type="dxa"/>
            <w:gridSpan w:val="2"/>
            <w:vAlign w:val="center"/>
          </w:tcPr>
          <w:p w14:paraId="6A1A9147" w14:textId="0EAEEA24" w:rsidR="00380B60" w:rsidRPr="00D85499" w:rsidRDefault="00380B60" w:rsidP="0095410F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D85499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Regulamento (</w:t>
            </w:r>
            <w:r w:rsidR="00237A34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UE</w:t>
            </w:r>
            <w:r w:rsidRPr="00D85499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) nº 2023/915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da Comissão, de 25 de </w:t>
            </w:r>
            <w:r w:rsidR="00C603DA" w:rsidRPr="00D85499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bril de 2023, </w:t>
            </w:r>
            <w:r w:rsidR="0095410F" w:rsidRPr="0095410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relativo aos teores máximos de certos contaminantes presentes nos géneros alimentícios e que</w:t>
            </w:r>
            <w:r w:rsidR="0095410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r w:rsidR="0095410F" w:rsidRPr="0095410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revoga o Regulamento (CE) </w:t>
            </w:r>
            <w:r w:rsidR="0095410F" w:rsidRPr="00D85499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nº</w:t>
            </w:r>
            <w:r w:rsidR="0095410F" w:rsidRPr="0095410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r w:rsidR="0095410F" w:rsidRPr="0095410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1881/2006</w:t>
            </w:r>
            <w:r w:rsidR="0095410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.</w:t>
            </w:r>
          </w:p>
        </w:tc>
      </w:tr>
      <w:tr w:rsidR="008B5EAD" w:rsidRPr="00D85499" w14:paraId="1802939D" w14:textId="77777777" w:rsidTr="0005481C">
        <w:trPr>
          <w:trHeight w:val="567"/>
          <w:jc w:val="center"/>
        </w:trPr>
        <w:tc>
          <w:tcPr>
            <w:tcW w:w="10304" w:type="dxa"/>
            <w:gridSpan w:val="2"/>
            <w:vAlign w:val="center"/>
          </w:tcPr>
          <w:p w14:paraId="4812E5B1" w14:textId="0B39C9A2" w:rsidR="008B5EAD" w:rsidRPr="00D85499" w:rsidRDefault="008B5EAD" w:rsidP="00380B60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R</w:t>
            </w:r>
            <w:r w:rsidRPr="00237A34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egulamento </w:t>
            </w:r>
            <w:r w:rsidRPr="00D85499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nº</w:t>
            </w:r>
            <w:r w:rsidRPr="00237A34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 (UE) 2024/1987 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da Comissão</w:t>
            </w:r>
            <w:r w:rsidRPr="00237A34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237A34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>de 30 de julho de 2024 que altera o Regulamento (UE)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D85499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>nº</w:t>
            </w:r>
            <w:r w:rsidRPr="00237A34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 xml:space="preserve"> 2023/915 no que diz respeito aos teores máximos de níquel em determinados géneros alimentícios</w:t>
            </w:r>
          </w:p>
        </w:tc>
      </w:tr>
      <w:tr w:rsidR="00F93DBB" w:rsidRPr="00D85499" w14:paraId="65DD241D" w14:textId="77777777" w:rsidTr="0005481C">
        <w:trPr>
          <w:trHeight w:val="567"/>
          <w:jc w:val="center"/>
        </w:trPr>
        <w:tc>
          <w:tcPr>
            <w:tcW w:w="10304" w:type="dxa"/>
            <w:gridSpan w:val="2"/>
            <w:vAlign w:val="center"/>
          </w:tcPr>
          <w:p w14:paraId="06F4513C" w14:textId="4B301EB7" w:rsidR="00F93DBB" w:rsidRPr="00D85499" w:rsidRDefault="00F93DBB" w:rsidP="00380B60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D85499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Regulamento (</w:t>
            </w:r>
            <w:r w:rsidR="00237A34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UE</w:t>
            </w:r>
            <w:r w:rsidRPr="00D85499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) 2024/2895 </w:t>
            </w:r>
            <w:r w:rsidRPr="00D85499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 xml:space="preserve">da Comissão de 20 de </w:t>
            </w:r>
            <w:r w:rsidR="00C603DA" w:rsidRPr="00D85499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>novembro</w:t>
            </w:r>
            <w:r w:rsidRPr="00D85499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 xml:space="preserve"> de 2024, que altera o Regulamento (CE) nº 2073/2005 no que diz respeito à </w:t>
            </w:r>
            <w:r w:rsidRPr="00D85499">
              <w:rPr>
                <w:rFonts w:ascii="Calibri" w:hAnsi="Calibri" w:cs="Calibri"/>
                <w:bCs/>
                <w:i/>
                <w:iCs/>
                <w:color w:val="000000" w:themeColor="text1"/>
                <w:sz w:val="20"/>
                <w:szCs w:val="20"/>
              </w:rPr>
              <w:t>Listeria monocytogenes</w:t>
            </w:r>
            <w:r w:rsidRPr="00D85499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>.</w:t>
            </w:r>
          </w:p>
        </w:tc>
      </w:tr>
      <w:tr w:rsidR="00380B60" w:rsidRPr="00D85499" w14:paraId="1324E1C3" w14:textId="524B008A" w:rsidTr="009E6AC5">
        <w:trPr>
          <w:trHeight w:val="454"/>
          <w:jc w:val="center"/>
        </w:trPr>
        <w:tc>
          <w:tcPr>
            <w:tcW w:w="10304" w:type="dxa"/>
            <w:gridSpan w:val="2"/>
            <w:shd w:val="clear" w:color="auto" w:fill="235738" w:themeFill="text2"/>
            <w:vAlign w:val="center"/>
          </w:tcPr>
          <w:p w14:paraId="22608C9F" w14:textId="4EDD667A" w:rsidR="00380B60" w:rsidRPr="00D85499" w:rsidRDefault="00380B60" w:rsidP="00380B60">
            <w:pPr>
              <w:jc w:val="center"/>
              <w:rPr>
                <w:rStyle w:val="Forte"/>
                <w:rFonts w:ascii="Calibri" w:hAnsi="Calibri" w:cs="Calibri"/>
                <w:b w:val="0"/>
                <w:bCs w:val="0"/>
                <w:color w:val="FFFFFF" w:themeColor="background1"/>
              </w:rPr>
            </w:pPr>
            <w:r w:rsidRPr="00D85499">
              <w:rPr>
                <w:rStyle w:val="Forte"/>
                <w:rFonts w:ascii="Calibri" w:hAnsi="Calibri" w:cs="Calibri"/>
                <w:color w:val="FFFFFF" w:themeColor="background1"/>
              </w:rPr>
              <w:t>ADITIVOS ALIMENTARES / SULFITOS</w:t>
            </w:r>
          </w:p>
        </w:tc>
      </w:tr>
      <w:tr w:rsidR="00380B60" w:rsidRPr="00D85499" w14:paraId="0CE5C4B9" w14:textId="77777777" w:rsidTr="00585643">
        <w:trPr>
          <w:trHeight w:val="567"/>
          <w:jc w:val="center"/>
        </w:trPr>
        <w:tc>
          <w:tcPr>
            <w:tcW w:w="10304" w:type="dxa"/>
            <w:gridSpan w:val="2"/>
            <w:vAlign w:val="center"/>
          </w:tcPr>
          <w:p w14:paraId="38AAD623" w14:textId="446F0D52" w:rsidR="00AD11E5" w:rsidRPr="00D85499" w:rsidRDefault="00380B60" w:rsidP="00D85499">
            <w:pPr>
              <w:rPr>
                <w:rStyle w:val="Ttulo1Carter"/>
                <w:rFonts w:ascii="Calibri" w:eastAsiaTheme="minorHAnsi" w:hAnsi="Calibri" w:cs="Calibri"/>
                <w:noProof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Decreto-Lei nº 121/98 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que transpõe para o ordenamento jurídico interno as condições a que deve obedecer a utilização dos aditivos alimentares, com exceção dos corantes e dos edulcorantes.</w:t>
            </w:r>
          </w:p>
        </w:tc>
      </w:tr>
      <w:tr w:rsidR="00380B60" w:rsidRPr="00D85499" w14:paraId="0A10E9F6" w14:textId="77777777" w:rsidTr="00FF55BF">
        <w:trPr>
          <w:trHeight w:val="567"/>
          <w:jc w:val="center"/>
        </w:trPr>
        <w:tc>
          <w:tcPr>
            <w:tcW w:w="10304" w:type="dxa"/>
            <w:gridSpan w:val="2"/>
            <w:vAlign w:val="center"/>
          </w:tcPr>
          <w:p w14:paraId="35B55F2C" w14:textId="6EF8854B" w:rsidR="00380B60" w:rsidRPr="00D85499" w:rsidRDefault="00380B60" w:rsidP="00380B60">
            <w:pPr>
              <w:rPr>
                <w:rStyle w:val="Ttulo1Carter"/>
                <w:rFonts w:ascii="Calibri" w:eastAsiaTheme="minorHAnsi" w:hAnsi="Calibri" w:cs="Calibri"/>
                <w:noProof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Regulamento (CE) nº 1333/2008 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do Parlamento Europeu e do Conselho, de 16 de </w:t>
            </w:r>
            <w:r w:rsidR="00C603DA"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dezembro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 de 2008, relativo aos aditivos alimentares.</w:t>
            </w:r>
          </w:p>
        </w:tc>
      </w:tr>
      <w:tr w:rsidR="00380B60" w:rsidRPr="00D85499" w14:paraId="5523D967" w14:textId="6CFF651C" w:rsidTr="00FC01AC">
        <w:trPr>
          <w:trHeight w:val="907"/>
          <w:jc w:val="center"/>
        </w:trPr>
        <w:tc>
          <w:tcPr>
            <w:tcW w:w="10304" w:type="dxa"/>
            <w:gridSpan w:val="2"/>
            <w:vAlign w:val="center"/>
          </w:tcPr>
          <w:p w14:paraId="1CD6C99A" w14:textId="23F5657F" w:rsidR="00380B60" w:rsidRPr="00D85499" w:rsidRDefault="00380B60" w:rsidP="00380B6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D8549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Regulamento (UE) nº 1129/2011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 da Comissão, de 11 de </w:t>
            </w:r>
            <w:r w:rsidR="00D85499"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novembro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 de 2011, que altera o anexo II do Regulamento (CE) </w:t>
            </w:r>
            <w:r w:rsidR="00A26138"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n.º 1333</w:t>
            </w:r>
            <w:r w:rsidRPr="00D85499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/2008 do Parlamento Europeu e do Conselho mediante o estabelecimento de uma lista da União de aditivos alimentares.</w:t>
            </w:r>
          </w:p>
        </w:tc>
      </w:tr>
      <w:tr w:rsidR="00380B60" w:rsidRPr="00D85499" w14:paraId="70EC1D2B" w14:textId="77777777" w:rsidTr="00FC01AC">
        <w:trPr>
          <w:trHeight w:val="907"/>
          <w:jc w:val="center"/>
        </w:trPr>
        <w:tc>
          <w:tcPr>
            <w:tcW w:w="10304" w:type="dxa"/>
            <w:gridSpan w:val="2"/>
            <w:vAlign w:val="center"/>
          </w:tcPr>
          <w:p w14:paraId="28C6E280" w14:textId="7DA6BF37" w:rsidR="00380B60" w:rsidRPr="00D85499" w:rsidRDefault="00380B60" w:rsidP="00380B6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hyperlink r:id="rId8" w:tgtFrame="_blank" w:history="1">
              <w:r w:rsidRPr="00D85499">
                <w:rPr>
                  <w:rFonts w:ascii="Calibri" w:hAnsi="Calibri" w:cs="Calibri"/>
                  <w:b/>
                  <w:bCs/>
                  <w:color w:val="000000" w:themeColor="text1"/>
                  <w:sz w:val="20"/>
                  <w:szCs w:val="20"/>
                  <w:shd w:val="clear" w:color="auto" w:fill="FFFFFF"/>
                </w:rPr>
                <w:t>Regulamento (UE) N.º 231/2012</w:t>
              </w:r>
            </w:hyperlink>
            <w:r w:rsidRPr="00D85499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D85499">
              <w:rPr>
                <w:rFonts w:ascii="Calibri" w:hAnsi="Calibri" w:cs="Calibri"/>
                <w:sz w:val="20"/>
                <w:szCs w:val="20"/>
              </w:rPr>
              <w:t>da Comissão de 9 de março de 2012, que estabelece especificações para os aditivos alimentares enumerados nos anexos I e III do Regulamento (CE) nº 1333/2008.</w:t>
            </w:r>
          </w:p>
        </w:tc>
      </w:tr>
      <w:tr w:rsidR="00380B60" w:rsidRPr="00D85499" w14:paraId="16B05F75" w14:textId="7700D81B" w:rsidTr="00CD3FEB">
        <w:trPr>
          <w:trHeight w:val="454"/>
          <w:jc w:val="center"/>
        </w:trPr>
        <w:tc>
          <w:tcPr>
            <w:tcW w:w="10304" w:type="dxa"/>
            <w:gridSpan w:val="2"/>
            <w:shd w:val="clear" w:color="auto" w:fill="235738" w:themeFill="text2"/>
            <w:vAlign w:val="center"/>
          </w:tcPr>
          <w:p w14:paraId="766F88BA" w14:textId="63283A81" w:rsidR="00380B60" w:rsidRPr="00D85499" w:rsidRDefault="00380B60" w:rsidP="00380B60">
            <w:pPr>
              <w:jc w:val="center"/>
              <w:rPr>
                <w:rStyle w:val="Forte"/>
                <w:rFonts w:ascii="Calibri" w:hAnsi="Calibri" w:cs="Calibri"/>
                <w:color w:val="FFFFFF" w:themeColor="background1"/>
              </w:rPr>
            </w:pPr>
            <w:r w:rsidRPr="00D85499">
              <w:rPr>
                <w:rStyle w:val="Forte"/>
                <w:rFonts w:ascii="Calibri" w:hAnsi="Calibri" w:cs="Calibri"/>
                <w:color w:val="FFFFFF" w:themeColor="background1"/>
              </w:rPr>
              <w:t>SITES SUBSCRITOS</w:t>
            </w:r>
          </w:p>
        </w:tc>
      </w:tr>
      <w:tr w:rsidR="00380B60" w:rsidRPr="00D85499" w14:paraId="236E8AA0" w14:textId="2FDD50C4" w:rsidTr="00A9191F">
        <w:trPr>
          <w:trHeight w:val="397"/>
          <w:jc w:val="center"/>
        </w:trPr>
        <w:tc>
          <w:tcPr>
            <w:tcW w:w="5152" w:type="dxa"/>
            <w:vAlign w:val="center"/>
          </w:tcPr>
          <w:p w14:paraId="7FDEFCEB" w14:textId="1AB757C6" w:rsidR="00380B60" w:rsidRPr="00D85499" w:rsidRDefault="00380B60" w:rsidP="00380B60">
            <w:pPr>
              <w:jc w:val="center"/>
              <w:rPr>
                <w:rStyle w:val="Forte"/>
                <w:rFonts w:ascii="Calibri" w:hAnsi="Calibri" w:cs="Calibri"/>
                <w:lang w:val="en-US"/>
              </w:rPr>
            </w:pPr>
            <w:r w:rsidRPr="00D85499">
              <w:rPr>
                <w:rStyle w:val="Forte"/>
                <w:rFonts w:ascii="Calibri" w:hAnsi="Calibri" w:cs="Calibri"/>
                <w:lang w:val="en-US"/>
              </w:rPr>
              <w:t>Diário da República</w:t>
            </w:r>
          </w:p>
        </w:tc>
        <w:tc>
          <w:tcPr>
            <w:tcW w:w="5152" w:type="dxa"/>
            <w:vAlign w:val="center"/>
          </w:tcPr>
          <w:p w14:paraId="58703928" w14:textId="3C8015D4" w:rsidR="00380B60" w:rsidRPr="00D85499" w:rsidRDefault="00380B60" w:rsidP="00380B60">
            <w:pPr>
              <w:jc w:val="center"/>
              <w:rPr>
                <w:rFonts w:ascii="Calibri" w:hAnsi="Calibri" w:cs="Calibri"/>
                <w:b/>
                <w:bCs/>
              </w:rPr>
            </w:pPr>
            <w:hyperlink r:id="rId9" w:anchor="lxb_mct-form-1" w:history="1">
              <w:r w:rsidRPr="00D85499">
                <w:rPr>
                  <w:rStyle w:val="Forte"/>
                  <w:rFonts w:ascii="Calibri" w:hAnsi="Calibri" w:cs="Calibri"/>
                </w:rPr>
                <w:t>Food</w:t>
              </w:r>
            </w:hyperlink>
            <w:r w:rsidRPr="00D85499">
              <w:rPr>
                <w:rStyle w:val="Forte"/>
                <w:rFonts w:ascii="Calibri" w:hAnsi="Calibri" w:cs="Calibri"/>
              </w:rPr>
              <w:t xml:space="preserve"> Safety News</w:t>
            </w:r>
          </w:p>
        </w:tc>
      </w:tr>
      <w:tr w:rsidR="00380B60" w:rsidRPr="00D85499" w14:paraId="58447986" w14:textId="77777777" w:rsidTr="00A9191F">
        <w:trPr>
          <w:trHeight w:val="397"/>
          <w:jc w:val="center"/>
        </w:trPr>
        <w:tc>
          <w:tcPr>
            <w:tcW w:w="5152" w:type="dxa"/>
            <w:vAlign w:val="center"/>
          </w:tcPr>
          <w:p w14:paraId="79B92CF6" w14:textId="1D192DD3" w:rsidR="00380B60" w:rsidRPr="00D85499" w:rsidRDefault="00380B60" w:rsidP="00380B60">
            <w:pPr>
              <w:jc w:val="center"/>
              <w:rPr>
                <w:rFonts w:ascii="Calibri" w:hAnsi="Calibri" w:cs="Calibri"/>
                <w:lang w:val="en-US"/>
              </w:rPr>
            </w:pPr>
            <w:r w:rsidRPr="00D85499">
              <w:rPr>
                <w:rStyle w:val="Forte"/>
                <w:rFonts w:ascii="Calibri" w:hAnsi="Calibri" w:cs="Calibri"/>
                <w:lang w:val="en-US"/>
              </w:rPr>
              <w:t>Food Navigator</w:t>
            </w:r>
          </w:p>
        </w:tc>
        <w:tc>
          <w:tcPr>
            <w:tcW w:w="5152" w:type="dxa"/>
            <w:vAlign w:val="center"/>
          </w:tcPr>
          <w:p w14:paraId="6A4AF276" w14:textId="142076F3" w:rsidR="00380B60" w:rsidRPr="00D85499" w:rsidRDefault="00380B60" w:rsidP="00380B60">
            <w:pPr>
              <w:jc w:val="center"/>
              <w:rPr>
                <w:rFonts w:ascii="Calibri" w:hAnsi="Calibri" w:cs="Calibri"/>
              </w:rPr>
            </w:pPr>
            <w:r w:rsidRPr="00D85499">
              <w:rPr>
                <w:rStyle w:val="Forte"/>
                <w:rFonts w:ascii="Calibri" w:hAnsi="Calibri" w:cs="Calibri"/>
              </w:rPr>
              <w:t>Food Standards Agency</w:t>
            </w:r>
          </w:p>
        </w:tc>
      </w:tr>
      <w:tr w:rsidR="00380B60" w:rsidRPr="00177FE5" w14:paraId="7D54E209" w14:textId="77777777" w:rsidTr="00A9191F">
        <w:trPr>
          <w:trHeight w:val="397"/>
          <w:jc w:val="center"/>
        </w:trPr>
        <w:tc>
          <w:tcPr>
            <w:tcW w:w="5152" w:type="dxa"/>
            <w:vAlign w:val="center"/>
          </w:tcPr>
          <w:p w14:paraId="22EBF042" w14:textId="70DF3A73" w:rsidR="00380B60" w:rsidRPr="00D85499" w:rsidRDefault="00380B60" w:rsidP="00380B60">
            <w:pPr>
              <w:jc w:val="center"/>
              <w:rPr>
                <w:rFonts w:ascii="Calibri" w:hAnsi="Calibri" w:cs="Calibri"/>
                <w:lang w:val="en-US"/>
              </w:rPr>
            </w:pPr>
            <w:r w:rsidRPr="00D85499">
              <w:rPr>
                <w:rStyle w:val="Forte"/>
                <w:rFonts w:ascii="Calibri" w:hAnsi="Calibri" w:cs="Calibri"/>
                <w:lang w:val="en-US"/>
              </w:rPr>
              <w:t>EFSA Highlights</w:t>
            </w:r>
          </w:p>
        </w:tc>
        <w:tc>
          <w:tcPr>
            <w:tcW w:w="5152" w:type="dxa"/>
            <w:vAlign w:val="center"/>
          </w:tcPr>
          <w:p w14:paraId="55F6EFA8" w14:textId="5A47B831" w:rsidR="00380B60" w:rsidRPr="00D85499" w:rsidRDefault="00380B60" w:rsidP="00380B60">
            <w:pPr>
              <w:jc w:val="center"/>
              <w:rPr>
                <w:rFonts w:ascii="Calibri" w:hAnsi="Calibri" w:cs="Calibri"/>
                <w:lang w:val="en-US"/>
              </w:rPr>
            </w:pPr>
            <w:r w:rsidRPr="00D85499">
              <w:rPr>
                <w:rStyle w:val="Forte"/>
                <w:rFonts w:ascii="Calibri" w:hAnsi="Calibri" w:cs="Calibri"/>
                <w:lang w:val="en-US"/>
              </w:rPr>
              <w:t>Food Safety Authority of Ireland</w:t>
            </w:r>
          </w:p>
        </w:tc>
      </w:tr>
      <w:tr w:rsidR="00380B60" w:rsidRPr="00D85499" w14:paraId="76E77F60" w14:textId="5CBA2BAE" w:rsidTr="00CD3FEB">
        <w:trPr>
          <w:trHeight w:val="454"/>
          <w:jc w:val="center"/>
        </w:trPr>
        <w:tc>
          <w:tcPr>
            <w:tcW w:w="10304" w:type="dxa"/>
            <w:gridSpan w:val="2"/>
            <w:shd w:val="clear" w:color="auto" w:fill="235738" w:themeFill="text2"/>
            <w:vAlign w:val="center"/>
          </w:tcPr>
          <w:p w14:paraId="6D2A8B73" w14:textId="3122BF7F" w:rsidR="00380B60" w:rsidRPr="00D85499" w:rsidRDefault="00380B60" w:rsidP="00380B60">
            <w:pPr>
              <w:jc w:val="center"/>
              <w:rPr>
                <w:rStyle w:val="Forte"/>
                <w:rFonts w:ascii="Calibri" w:hAnsi="Calibri" w:cs="Calibri"/>
                <w:color w:val="FFFFFF" w:themeColor="background1"/>
                <w:lang w:val="en-US"/>
              </w:rPr>
            </w:pPr>
            <w:r w:rsidRPr="00D85499">
              <w:rPr>
                <w:rStyle w:val="Forte"/>
                <w:rFonts w:ascii="Calibri" w:hAnsi="Calibri" w:cs="Calibri"/>
                <w:color w:val="FFFFFF" w:themeColor="background1"/>
                <w:lang w:val="en-US"/>
              </w:rPr>
              <w:lastRenderedPageBreak/>
              <w:t>OUTROS SITES DE APOIO</w:t>
            </w:r>
          </w:p>
        </w:tc>
      </w:tr>
      <w:tr w:rsidR="00380B60" w:rsidRPr="00D85499" w14:paraId="4F589D21" w14:textId="1434A16F" w:rsidTr="00A9191F">
        <w:trPr>
          <w:trHeight w:val="454"/>
          <w:jc w:val="center"/>
        </w:trPr>
        <w:tc>
          <w:tcPr>
            <w:tcW w:w="5152" w:type="dxa"/>
            <w:vAlign w:val="center"/>
          </w:tcPr>
          <w:p w14:paraId="619237D0" w14:textId="77777777" w:rsidR="00380B60" w:rsidRPr="00D85499" w:rsidRDefault="00380B60" w:rsidP="00380B60">
            <w:pPr>
              <w:jc w:val="center"/>
              <w:rPr>
                <w:rStyle w:val="Forte"/>
                <w:rFonts w:ascii="Calibri" w:hAnsi="Calibri" w:cs="Calibri"/>
                <w:lang w:val="en-US"/>
              </w:rPr>
            </w:pPr>
            <w:r w:rsidRPr="00D85499">
              <w:rPr>
                <w:rStyle w:val="Forte"/>
                <w:rFonts w:ascii="Calibri" w:hAnsi="Calibri" w:cs="Calibri"/>
                <w:lang w:val="en-US"/>
              </w:rPr>
              <w:t>RASFF</w:t>
            </w:r>
          </w:p>
        </w:tc>
        <w:tc>
          <w:tcPr>
            <w:tcW w:w="5152" w:type="dxa"/>
            <w:vAlign w:val="center"/>
          </w:tcPr>
          <w:p w14:paraId="4221CD1B" w14:textId="52C17DE8" w:rsidR="00380B60" w:rsidRPr="00D85499" w:rsidRDefault="00380B60" w:rsidP="00380B60">
            <w:pPr>
              <w:jc w:val="center"/>
              <w:rPr>
                <w:rStyle w:val="Forte"/>
                <w:rFonts w:ascii="Calibri" w:hAnsi="Calibri" w:cs="Calibri"/>
                <w:lang w:val="en-US"/>
              </w:rPr>
            </w:pPr>
            <w:r w:rsidRPr="00D85499">
              <w:rPr>
                <w:rStyle w:val="Forte"/>
                <w:rFonts w:ascii="Calibri" w:hAnsi="Calibri" w:cs="Calibri"/>
                <w:lang w:val="en-US"/>
              </w:rPr>
              <w:t>DGAV</w:t>
            </w:r>
          </w:p>
        </w:tc>
      </w:tr>
      <w:tr w:rsidR="00380B60" w:rsidRPr="00D85499" w14:paraId="4E11C496" w14:textId="25C65DFA" w:rsidTr="00A9191F">
        <w:trPr>
          <w:trHeight w:val="454"/>
          <w:jc w:val="center"/>
        </w:trPr>
        <w:tc>
          <w:tcPr>
            <w:tcW w:w="5152" w:type="dxa"/>
            <w:vAlign w:val="center"/>
          </w:tcPr>
          <w:p w14:paraId="4D8C6EF1" w14:textId="1F3F8B4D" w:rsidR="00380B60" w:rsidRPr="00D85499" w:rsidRDefault="00380B60" w:rsidP="00380B60">
            <w:pPr>
              <w:jc w:val="center"/>
              <w:rPr>
                <w:rStyle w:val="Forte"/>
                <w:rFonts w:ascii="Calibri" w:hAnsi="Calibri" w:cs="Calibri"/>
                <w:lang w:val="en-US"/>
              </w:rPr>
            </w:pPr>
            <w:r w:rsidRPr="00D85499">
              <w:rPr>
                <w:rStyle w:val="Forte"/>
                <w:rFonts w:ascii="Calibri" w:hAnsi="Calibri" w:cs="Calibri"/>
                <w:lang w:val="en-US"/>
              </w:rPr>
              <w:t>Partnership for Food Safety Education</w:t>
            </w:r>
          </w:p>
        </w:tc>
        <w:tc>
          <w:tcPr>
            <w:tcW w:w="5152" w:type="dxa"/>
            <w:vAlign w:val="center"/>
          </w:tcPr>
          <w:p w14:paraId="460FF924" w14:textId="46743C7E" w:rsidR="00380B60" w:rsidRPr="00D85499" w:rsidRDefault="00380B60" w:rsidP="00380B60">
            <w:pPr>
              <w:jc w:val="center"/>
              <w:rPr>
                <w:rStyle w:val="Forte"/>
                <w:rFonts w:ascii="Calibri" w:hAnsi="Calibri" w:cs="Calibri"/>
                <w:lang w:val="en-US"/>
              </w:rPr>
            </w:pPr>
            <w:r w:rsidRPr="00D85499">
              <w:rPr>
                <w:rStyle w:val="Forte"/>
                <w:rFonts w:ascii="Calibri" w:hAnsi="Calibri" w:cs="Calibri"/>
                <w:lang w:val="en-US"/>
              </w:rPr>
              <w:t>ASAE</w:t>
            </w:r>
          </w:p>
        </w:tc>
      </w:tr>
    </w:tbl>
    <w:p w14:paraId="245B52E6" w14:textId="77777777" w:rsidR="00A9191F" w:rsidRPr="00D85499" w:rsidRDefault="00A9191F" w:rsidP="00A9191F">
      <w:pPr>
        <w:spacing w:after="0" w:line="360" w:lineRule="auto"/>
        <w:ind w:right="-852"/>
        <w:jc w:val="right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2374688A" w14:textId="36918416" w:rsidR="00DF46EF" w:rsidRPr="00D85499" w:rsidRDefault="00CD3FEB" w:rsidP="00A9191F">
      <w:pPr>
        <w:spacing w:after="0" w:line="360" w:lineRule="auto"/>
        <w:ind w:right="-852"/>
        <w:jc w:val="right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  <w:lang w:val="en-US"/>
        </w:rPr>
      </w:pPr>
      <w:r w:rsidRPr="00D85499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  <w:lang w:val="en-US"/>
        </w:rPr>
        <w:t xml:space="preserve">Última </w:t>
      </w:r>
      <w:r w:rsidR="00A9191F" w:rsidRPr="00D85499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  <w:lang w:val="en-US"/>
        </w:rPr>
        <w:t>a</w:t>
      </w:r>
      <w:r w:rsidRPr="00D85499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  <w:lang w:val="en-US"/>
        </w:rPr>
        <w:t>tualização</w:t>
      </w:r>
      <w:r w:rsidR="00A9191F" w:rsidRPr="00D85499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  <w:lang w:val="en-US"/>
        </w:rPr>
        <w:t>:</w:t>
      </w:r>
      <w:r w:rsidRPr="00D85499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r w:rsidR="006D1411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  <w:lang w:val="en-US"/>
        </w:rPr>
        <w:t>30.12.2025</w:t>
      </w:r>
    </w:p>
    <w:p w14:paraId="7817B796" w14:textId="40EAEDE7" w:rsidR="00391BAA" w:rsidRPr="00D85499" w:rsidRDefault="00391BAA" w:rsidP="00391BAA">
      <w:pPr>
        <w:rPr>
          <w:rFonts w:ascii="Calibri" w:hAnsi="Calibri" w:cs="Calibri"/>
          <w:sz w:val="20"/>
          <w:szCs w:val="20"/>
          <w:lang w:val="en-US"/>
        </w:rPr>
      </w:pPr>
    </w:p>
    <w:p w14:paraId="0FB58CDD" w14:textId="42E9BAE0" w:rsidR="00391BAA" w:rsidRPr="00D85499" w:rsidRDefault="00391BAA" w:rsidP="00391BAA">
      <w:pPr>
        <w:rPr>
          <w:rFonts w:ascii="Calibri" w:hAnsi="Calibri" w:cs="Calibri"/>
          <w:sz w:val="20"/>
          <w:szCs w:val="20"/>
          <w:lang w:val="en-US"/>
        </w:rPr>
      </w:pPr>
    </w:p>
    <w:p w14:paraId="1BB2ECE2" w14:textId="3A3654D9" w:rsidR="00391BAA" w:rsidRPr="00D85499" w:rsidRDefault="00391BAA" w:rsidP="00391BAA">
      <w:pPr>
        <w:tabs>
          <w:tab w:val="left" w:pos="1064"/>
        </w:tabs>
        <w:rPr>
          <w:rFonts w:ascii="Calibri" w:hAnsi="Calibri" w:cs="Calibri"/>
          <w:sz w:val="20"/>
          <w:szCs w:val="20"/>
          <w:lang w:val="en-US"/>
        </w:rPr>
      </w:pPr>
      <w:r w:rsidRPr="00D85499">
        <w:rPr>
          <w:rFonts w:ascii="Calibri" w:hAnsi="Calibri" w:cs="Calibri"/>
          <w:sz w:val="20"/>
          <w:szCs w:val="20"/>
          <w:lang w:val="en-US"/>
        </w:rPr>
        <w:tab/>
      </w:r>
    </w:p>
    <w:sectPr w:rsidR="00391BAA" w:rsidRPr="00D85499" w:rsidSect="006D5F7B">
      <w:headerReference w:type="default" r:id="rId10"/>
      <w:footerReference w:type="default" r:id="rId11"/>
      <w:pgSz w:w="11906" w:h="16838"/>
      <w:pgMar w:top="1417" w:right="1701" w:bottom="709" w:left="1701" w:header="568" w:footer="4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544F5" w14:textId="77777777" w:rsidR="008C0383" w:rsidRDefault="008C0383" w:rsidP="008C0383">
      <w:pPr>
        <w:spacing w:after="0" w:line="240" w:lineRule="auto"/>
      </w:pPr>
      <w:r>
        <w:separator/>
      </w:r>
    </w:p>
  </w:endnote>
  <w:endnote w:type="continuationSeparator" w:id="0">
    <w:p w14:paraId="184A4AD8" w14:textId="77777777" w:rsidR="008C0383" w:rsidRDefault="008C0383" w:rsidP="008C0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randview">
    <w:charset w:val="00"/>
    <w:family w:val="swiss"/>
    <w:pitch w:val="variable"/>
    <w:sig w:usb0="A00002C7" w:usb1="00000002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24422" w14:textId="21DA035B" w:rsidR="003265D1" w:rsidRPr="004769B5" w:rsidRDefault="003265D1" w:rsidP="003E57D2">
    <w:pPr>
      <w:pStyle w:val="Rodap"/>
      <w:tabs>
        <w:tab w:val="clear" w:pos="4252"/>
        <w:tab w:val="clear" w:pos="8504"/>
      </w:tabs>
      <w:ind w:left="-851" w:right="-994"/>
      <w:rPr>
        <w:sz w:val="16"/>
        <w:szCs w:val="12"/>
      </w:rPr>
    </w:pPr>
    <w:r w:rsidRPr="00882754">
      <w:rPr>
        <w:sz w:val="16"/>
        <w:szCs w:val="12"/>
      </w:rPr>
      <w:t>Mod.0</w:t>
    </w:r>
    <w:r w:rsidR="007656E7">
      <w:rPr>
        <w:sz w:val="16"/>
        <w:szCs w:val="12"/>
      </w:rPr>
      <w:t>6</w:t>
    </w:r>
    <w:r>
      <w:rPr>
        <w:sz w:val="16"/>
        <w:szCs w:val="12"/>
      </w:rPr>
      <w:t>9</w:t>
    </w:r>
    <w:r w:rsidRPr="00882754">
      <w:rPr>
        <w:sz w:val="16"/>
        <w:szCs w:val="12"/>
      </w:rPr>
      <w:t>.0</w:t>
    </w:r>
    <w:r w:rsidR="003E57D2">
      <w:rPr>
        <w:sz w:val="16"/>
        <w:szCs w:val="12"/>
      </w:rPr>
      <w:t>1</w:t>
    </w:r>
    <w:r w:rsidRPr="00882754">
      <w:rPr>
        <w:sz w:val="16"/>
        <w:szCs w:val="12"/>
      </w:rPr>
      <w:t xml:space="preserve"> </w:t>
    </w:r>
    <w:r w:rsidR="00391BAA">
      <w:rPr>
        <w:sz w:val="16"/>
        <w:szCs w:val="12"/>
      </w:rPr>
      <w:t>Rev.0</w:t>
    </w:r>
    <w:r w:rsidR="002B1B85">
      <w:rPr>
        <w:sz w:val="16"/>
        <w:szCs w:val="12"/>
      </w:rPr>
      <w:t>5</w:t>
    </w:r>
    <w:r w:rsidRPr="00882754">
      <w:rPr>
        <w:sz w:val="16"/>
        <w:szCs w:val="12"/>
      </w:rPr>
      <w:t xml:space="preserve">                  </w:t>
    </w:r>
    <w:r w:rsidR="005F1BFE">
      <w:rPr>
        <w:sz w:val="16"/>
        <w:szCs w:val="12"/>
      </w:rPr>
      <w:tab/>
    </w:r>
    <w:r w:rsidR="005F1BFE">
      <w:rPr>
        <w:sz w:val="16"/>
        <w:szCs w:val="12"/>
      </w:rPr>
      <w:tab/>
    </w:r>
    <w:r w:rsidRPr="00882754">
      <w:rPr>
        <w:sz w:val="16"/>
        <w:szCs w:val="12"/>
      </w:rPr>
      <w:t xml:space="preserve">                                                          </w:t>
    </w:r>
    <w:r>
      <w:rPr>
        <w:sz w:val="16"/>
        <w:szCs w:val="12"/>
      </w:rPr>
      <w:t xml:space="preserve">                                              </w:t>
    </w:r>
    <w:r w:rsidRPr="00882754">
      <w:rPr>
        <w:sz w:val="16"/>
        <w:szCs w:val="12"/>
      </w:rPr>
      <w:t xml:space="preserve">                          </w:t>
    </w:r>
    <w:r>
      <w:rPr>
        <w:sz w:val="16"/>
        <w:szCs w:val="12"/>
      </w:rPr>
      <w:t xml:space="preserve">    </w:t>
    </w:r>
    <w:r w:rsidR="00B23D25">
      <w:rPr>
        <w:sz w:val="16"/>
        <w:szCs w:val="12"/>
      </w:rPr>
      <w:t xml:space="preserve">        </w:t>
    </w:r>
    <w:r>
      <w:rPr>
        <w:sz w:val="16"/>
        <w:szCs w:val="12"/>
      </w:rPr>
      <w:t xml:space="preserve">  </w:t>
    </w:r>
    <w:r w:rsidRPr="00882754">
      <w:rPr>
        <w:rFonts w:cs="Arial"/>
        <w:sz w:val="16"/>
        <w:szCs w:val="16"/>
      </w:rPr>
      <w:t xml:space="preserve">Página </w:t>
    </w:r>
    <w:r w:rsidRPr="00882754">
      <w:rPr>
        <w:rFonts w:cs="Arial"/>
        <w:sz w:val="16"/>
        <w:szCs w:val="16"/>
      </w:rPr>
      <w:fldChar w:fldCharType="begin"/>
    </w:r>
    <w:r w:rsidRPr="00882754">
      <w:rPr>
        <w:rFonts w:cs="Arial"/>
        <w:sz w:val="16"/>
        <w:szCs w:val="16"/>
      </w:rPr>
      <w:instrText xml:space="preserve"> PAGE \* ARABIC </w:instrText>
    </w:r>
    <w:r w:rsidRPr="00882754">
      <w:rPr>
        <w:rFonts w:cs="Arial"/>
        <w:sz w:val="16"/>
        <w:szCs w:val="16"/>
      </w:rPr>
      <w:fldChar w:fldCharType="separate"/>
    </w:r>
    <w:r>
      <w:rPr>
        <w:rFonts w:cs="Arial"/>
        <w:sz w:val="16"/>
        <w:szCs w:val="16"/>
      </w:rPr>
      <w:t>1</w:t>
    </w:r>
    <w:r w:rsidRPr="00882754">
      <w:rPr>
        <w:rFonts w:cs="Arial"/>
        <w:sz w:val="16"/>
        <w:szCs w:val="16"/>
      </w:rPr>
      <w:fldChar w:fldCharType="end"/>
    </w:r>
    <w:r w:rsidRPr="00882754">
      <w:rPr>
        <w:rFonts w:cs="Arial"/>
        <w:sz w:val="16"/>
        <w:szCs w:val="16"/>
      </w:rPr>
      <w:t xml:space="preserve"> de </w:t>
    </w:r>
    <w:r w:rsidRPr="00882754">
      <w:rPr>
        <w:rFonts w:cs="Arial"/>
        <w:sz w:val="16"/>
        <w:szCs w:val="16"/>
      </w:rPr>
      <w:fldChar w:fldCharType="begin"/>
    </w:r>
    <w:r w:rsidRPr="00882754">
      <w:rPr>
        <w:rFonts w:cs="Arial"/>
        <w:sz w:val="16"/>
        <w:szCs w:val="16"/>
      </w:rPr>
      <w:instrText xml:space="preserve"> NUMPAGES \* ARABIC </w:instrText>
    </w:r>
    <w:r w:rsidRPr="00882754">
      <w:rPr>
        <w:rFonts w:cs="Arial"/>
        <w:sz w:val="16"/>
        <w:szCs w:val="16"/>
      </w:rPr>
      <w:fldChar w:fldCharType="separate"/>
    </w:r>
    <w:r>
      <w:rPr>
        <w:rFonts w:cs="Arial"/>
        <w:sz w:val="16"/>
        <w:szCs w:val="16"/>
      </w:rPr>
      <w:t>1</w:t>
    </w:r>
    <w:r w:rsidRPr="00882754">
      <w:rPr>
        <w:rFonts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8ACC7" w14:textId="77777777" w:rsidR="008C0383" w:rsidRDefault="008C0383" w:rsidP="008C0383">
      <w:pPr>
        <w:spacing w:after="0" w:line="240" w:lineRule="auto"/>
      </w:pPr>
      <w:r>
        <w:separator/>
      </w:r>
    </w:p>
  </w:footnote>
  <w:footnote w:type="continuationSeparator" w:id="0">
    <w:p w14:paraId="146F6569" w14:textId="77777777" w:rsidR="008C0383" w:rsidRDefault="008C0383" w:rsidP="008C0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Ind w:w="-856" w:type="dxa"/>
      <w:tblLayout w:type="fixed"/>
      <w:tblLook w:val="0000" w:firstRow="0" w:lastRow="0" w:firstColumn="0" w:lastColumn="0" w:noHBand="0" w:noVBand="0"/>
    </w:tblPr>
    <w:tblGrid>
      <w:gridCol w:w="2132"/>
      <w:gridCol w:w="8216"/>
    </w:tblGrid>
    <w:tr w:rsidR="005A2E99" w:rsidRPr="00233EFB" w14:paraId="61389F9A" w14:textId="77777777" w:rsidTr="005A2E99">
      <w:trPr>
        <w:cantSplit/>
        <w:trHeight w:val="977"/>
      </w:trPr>
      <w:tc>
        <w:tcPr>
          <w:tcW w:w="2132" w:type="dxa"/>
          <w:shd w:val="clear" w:color="C0C0C0" w:fill="auto"/>
          <w:vAlign w:val="bottom"/>
        </w:tcPr>
        <w:p w14:paraId="50F0D8CD" w14:textId="77777777" w:rsidR="005A2E99" w:rsidRPr="00233EFB" w:rsidRDefault="005A2E99" w:rsidP="005A2E99">
          <w:pPr>
            <w:tabs>
              <w:tab w:val="center" w:pos="4153"/>
              <w:tab w:val="right" w:pos="8306"/>
            </w:tabs>
            <w:ind w:left="-257"/>
            <w:rPr>
              <w:b/>
              <w:smallCaps/>
              <w:sz w:val="28"/>
            </w:rPr>
          </w:pPr>
          <w:r>
            <w:rPr>
              <w:b/>
              <w:smallCaps/>
              <w:noProof/>
              <w:sz w:val="28"/>
            </w:rPr>
            <w:drawing>
              <wp:anchor distT="0" distB="0" distL="114300" distR="114300" simplePos="0" relativeHeight="251659264" behindDoc="0" locked="0" layoutInCell="1" allowOverlap="1" wp14:anchorId="544FC90F" wp14:editId="6FEA7FE5">
                <wp:simplePos x="0" y="0"/>
                <wp:positionH relativeFrom="column">
                  <wp:posOffset>28575</wp:posOffset>
                </wp:positionH>
                <wp:positionV relativeFrom="paragraph">
                  <wp:posOffset>-316865</wp:posOffset>
                </wp:positionV>
                <wp:extent cx="1109980" cy="601345"/>
                <wp:effectExtent l="0" t="0" r="0" b="8255"/>
                <wp:wrapNone/>
                <wp:docPr id="1587824028" name="Imagem 15878240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9980" cy="601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216" w:type="dxa"/>
          <w:vAlign w:val="bottom"/>
        </w:tcPr>
        <w:p w14:paraId="42BA0225" w14:textId="77777777" w:rsidR="005A2E99" w:rsidRDefault="005A2E99" w:rsidP="005A2E99">
          <w:pPr>
            <w:tabs>
              <w:tab w:val="center" w:pos="4153"/>
              <w:tab w:val="right" w:pos="8306"/>
            </w:tabs>
            <w:spacing w:after="0"/>
            <w:ind w:left="-108"/>
            <w:rPr>
              <w:rFonts w:ascii="Grandview" w:hAnsi="Grandview"/>
              <w:bCs/>
              <w:smallCaps/>
              <w:color w:val="235738"/>
              <w:sz w:val="48"/>
              <w:szCs w:val="48"/>
            </w:rPr>
          </w:pPr>
          <w:r w:rsidRPr="00445E20">
            <w:rPr>
              <w:rFonts w:ascii="Grandview" w:hAnsi="Grandview"/>
              <w:b/>
              <w:smallCaps/>
              <w:color w:val="235738"/>
              <w:sz w:val="48"/>
              <w:szCs w:val="48"/>
            </w:rPr>
            <w:t>Legislação</w:t>
          </w:r>
          <w:r w:rsidRPr="00445E20">
            <w:rPr>
              <w:rFonts w:ascii="Grandview" w:hAnsi="Grandview"/>
              <w:bCs/>
              <w:smallCaps/>
              <w:color w:val="235738"/>
              <w:sz w:val="48"/>
              <w:szCs w:val="48"/>
            </w:rPr>
            <w:t xml:space="preserve"> Aplicável</w:t>
          </w:r>
        </w:p>
        <w:p w14:paraId="74F11ED4" w14:textId="77777777" w:rsidR="005A2E99" w:rsidRPr="005A2E99" w:rsidRDefault="005A2E99" w:rsidP="005A2E99">
          <w:pPr>
            <w:tabs>
              <w:tab w:val="center" w:pos="4153"/>
              <w:tab w:val="right" w:pos="8306"/>
            </w:tabs>
            <w:spacing w:after="0"/>
            <w:ind w:left="-108"/>
            <w:rPr>
              <w:rFonts w:ascii="Grandview" w:hAnsi="Grandview"/>
              <w:bCs/>
              <w:smallCaps/>
              <w:color w:val="235738"/>
              <w:sz w:val="20"/>
              <w:szCs w:val="20"/>
            </w:rPr>
          </w:pPr>
        </w:p>
      </w:tc>
    </w:tr>
  </w:tbl>
  <w:p w14:paraId="25C14869" w14:textId="77777777" w:rsidR="00C13954" w:rsidRDefault="00C13954" w:rsidP="005A2E9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E35"/>
    <w:rsid w:val="00006A1E"/>
    <w:rsid w:val="0005481C"/>
    <w:rsid w:val="000A239B"/>
    <w:rsid w:val="000B14D2"/>
    <w:rsid w:val="000B649D"/>
    <w:rsid w:val="000B6707"/>
    <w:rsid w:val="000F6185"/>
    <w:rsid w:val="00105F99"/>
    <w:rsid w:val="001127D5"/>
    <w:rsid w:val="00151ABB"/>
    <w:rsid w:val="00177FE5"/>
    <w:rsid w:val="001A067A"/>
    <w:rsid w:val="001B57E5"/>
    <w:rsid w:val="001D255A"/>
    <w:rsid w:val="001E2C4B"/>
    <w:rsid w:val="00215159"/>
    <w:rsid w:val="00237A34"/>
    <w:rsid w:val="0025227B"/>
    <w:rsid w:val="002963D8"/>
    <w:rsid w:val="002A75D1"/>
    <w:rsid w:val="002B0638"/>
    <w:rsid w:val="002B1B85"/>
    <w:rsid w:val="002D0E62"/>
    <w:rsid w:val="002D44A1"/>
    <w:rsid w:val="002F731E"/>
    <w:rsid w:val="00301812"/>
    <w:rsid w:val="00307FF4"/>
    <w:rsid w:val="00325254"/>
    <w:rsid w:val="003265D1"/>
    <w:rsid w:val="00355828"/>
    <w:rsid w:val="00380B60"/>
    <w:rsid w:val="00391BAA"/>
    <w:rsid w:val="00391DF2"/>
    <w:rsid w:val="003A6FF9"/>
    <w:rsid w:val="003B16C1"/>
    <w:rsid w:val="003E57D2"/>
    <w:rsid w:val="003F4250"/>
    <w:rsid w:val="003F652E"/>
    <w:rsid w:val="00401373"/>
    <w:rsid w:val="00416891"/>
    <w:rsid w:val="00445E20"/>
    <w:rsid w:val="00453308"/>
    <w:rsid w:val="004769B5"/>
    <w:rsid w:val="004A2C17"/>
    <w:rsid w:val="004C32FC"/>
    <w:rsid w:val="004F57FE"/>
    <w:rsid w:val="00532E09"/>
    <w:rsid w:val="00540E72"/>
    <w:rsid w:val="00572C11"/>
    <w:rsid w:val="005765E6"/>
    <w:rsid w:val="00595DB2"/>
    <w:rsid w:val="005A0098"/>
    <w:rsid w:val="005A2E99"/>
    <w:rsid w:val="005C7F6A"/>
    <w:rsid w:val="005F1BFE"/>
    <w:rsid w:val="00601210"/>
    <w:rsid w:val="00657333"/>
    <w:rsid w:val="006A1530"/>
    <w:rsid w:val="006A78A9"/>
    <w:rsid w:val="006D1411"/>
    <w:rsid w:val="006D5F7B"/>
    <w:rsid w:val="00715C48"/>
    <w:rsid w:val="00746AAB"/>
    <w:rsid w:val="00755D11"/>
    <w:rsid w:val="007656E7"/>
    <w:rsid w:val="0079217B"/>
    <w:rsid w:val="007E60DD"/>
    <w:rsid w:val="007E74B7"/>
    <w:rsid w:val="007F3D08"/>
    <w:rsid w:val="0081111A"/>
    <w:rsid w:val="0082515E"/>
    <w:rsid w:val="00827D8F"/>
    <w:rsid w:val="008421B2"/>
    <w:rsid w:val="008500C4"/>
    <w:rsid w:val="008B5EAD"/>
    <w:rsid w:val="008C0383"/>
    <w:rsid w:val="0093309A"/>
    <w:rsid w:val="0095410F"/>
    <w:rsid w:val="009B6DEB"/>
    <w:rsid w:val="009E6AC5"/>
    <w:rsid w:val="00A26138"/>
    <w:rsid w:val="00A676CF"/>
    <w:rsid w:val="00A9191F"/>
    <w:rsid w:val="00AB5345"/>
    <w:rsid w:val="00AD11E5"/>
    <w:rsid w:val="00B23D25"/>
    <w:rsid w:val="00B413DC"/>
    <w:rsid w:val="00B8619A"/>
    <w:rsid w:val="00B86943"/>
    <w:rsid w:val="00B97EA0"/>
    <w:rsid w:val="00BA28CA"/>
    <w:rsid w:val="00BC6A6A"/>
    <w:rsid w:val="00BD46BD"/>
    <w:rsid w:val="00BE3C38"/>
    <w:rsid w:val="00C02789"/>
    <w:rsid w:val="00C03E35"/>
    <w:rsid w:val="00C13954"/>
    <w:rsid w:val="00C20E80"/>
    <w:rsid w:val="00C31829"/>
    <w:rsid w:val="00C603DA"/>
    <w:rsid w:val="00C621F4"/>
    <w:rsid w:val="00C72E03"/>
    <w:rsid w:val="00C97F5A"/>
    <w:rsid w:val="00CC4E78"/>
    <w:rsid w:val="00CD0ED6"/>
    <w:rsid w:val="00CD3FEB"/>
    <w:rsid w:val="00CF29E2"/>
    <w:rsid w:val="00D31331"/>
    <w:rsid w:val="00D85499"/>
    <w:rsid w:val="00DC1550"/>
    <w:rsid w:val="00DF46EF"/>
    <w:rsid w:val="00E50131"/>
    <w:rsid w:val="00E6169C"/>
    <w:rsid w:val="00E95F2A"/>
    <w:rsid w:val="00ED2212"/>
    <w:rsid w:val="00ED4BBF"/>
    <w:rsid w:val="00F046A9"/>
    <w:rsid w:val="00F4277C"/>
    <w:rsid w:val="00F4665E"/>
    <w:rsid w:val="00F80B5D"/>
    <w:rsid w:val="00F82469"/>
    <w:rsid w:val="00F93DBB"/>
    <w:rsid w:val="00FA5D18"/>
    <w:rsid w:val="00FB06A7"/>
    <w:rsid w:val="00FB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3355C940"/>
  <w15:chartTrackingRefBased/>
  <w15:docId w15:val="{25CCDDEE-3013-4BBC-A978-5C2412A5F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ter"/>
    <w:uiPriority w:val="9"/>
    <w:qFormat/>
    <w:rsid w:val="00C621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Tipodeletrapredefinidodopargrafo"/>
    <w:uiPriority w:val="22"/>
    <w:qFormat/>
    <w:rsid w:val="00C03E35"/>
    <w:rPr>
      <w:b/>
      <w:bCs/>
    </w:rPr>
  </w:style>
  <w:style w:type="character" w:styleId="Hiperligao">
    <w:name w:val="Hyperlink"/>
    <w:basedOn w:val="Tipodeletrapredefinidodopargrafo"/>
    <w:uiPriority w:val="99"/>
    <w:semiHidden/>
    <w:unhideWhenUsed/>
    <w:rsid w:val="008C0383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8C03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8C0383"/>
  </w:style>
  <w:style w:type="paragraph" w:styleId="Rodap">
    <w:name w:val="footer"/>
    <w:basedOn w:val="Normal"/>
    <w:link w:val="RodapCarter"/>
    <w:unhideWhenUsed/>
    <w:rsid w:val="008C03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8C0383"/>
  </w:style>
  <w:style w:type="table" w:styleId="TabelacomGrelha">
    <w:name w:val="Table Grid"/>
    <w:basedOn w:val="Tabelanormal"/>
    <w:uiPriority w:val="39"/>
    <w:rsid w:val="00C139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ter">
    <w:name w:val="Título 1 Caráter"/>
    <w:basedOn w:val="Tipodeletrapredefinidodopargrafo"/>
    <w:link w:val="Ttulo1"/>
    <w:uiPriority w:val="9"/>
    <w:rsid w:val="00C621F4"/>
    <w:rPr>
      <w:rFonts w:ascii="Times New Roman" w:eastAsia="Times New Roman" w:hAnsi="Times New Roman" w:cs="Times New Roman"/>
      <w:b/>
      <w:bCs/>
      <w:kern w:val="36"/>
      <w:sz w:val="48"/>
      <w:szCs w:val="48"/>
      <w:lang w:eastAsia="pt-PT"/>
    </w:rPr>
  </w:style>
  <w:style w:type="character" w:customStyle="1" w:styleId="heading1">
    <w:name w:val="heading1"/>
    <w:basedOn w:val="Tipodeletrapredefinidodopargrafo"/>
    <w:rsid w:val="00C621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0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PT/TXT/PDF/?uri=CELEX:02012R0231-20210803&amp;qid=1639152984382&amp;from=E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eur-lex.europa.eu/LexUriServ/LexUriServ.do?uri=CONSLEG:2002R0178:20080325:PT: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foodsafetynews.com/subscrib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BATCEL">
      <a:dk1>
        <a:sysClr val="windowText" lastClr="000000"/>
      </a:dk1>
      <a:lt1>
        <a:sysClr val="window" lastClr="FFFFFF"/>
      </a:lt1>
      <a:dk2>
        <a:srgbClr val="235738"/>
      </a:dk2>
      <a:lt2>
        <a:srgbClr val="F1F2E8"/>
      </a:lt2>
      <a:accent1>
        <a:srgbClr val="86BD50"/>
      </a:accent1>
      <a:accent2>
        <a:srgbClr val="D2593A"/>
      </a:accent2>
      <a:accent3>
        <a:srgbClr val="BC8850"/>
      </a:accent3>
      <a:accent4>
        <a:srgbClr val="E0963A"/>
      </a:accent4>
      <a:accent5>
        <a:srgbClr val="235738"/>
      </a:accent5>
      <a:accent6>
        <a:srgbClr val="AA344C"/>
      </a:accent6>
      <a:hlink>
        <a:srgbClr val="235738"/>
      </a:hlink>
      <a:folHlink>
        <a:srgbClr val="4B180E"/>
      </a:folHlink>
    </a:clrScheme>
    <a:fontScheme name="Fichas Técnicas">
      <a:majorFont>
        <a:latin typeface="Grandview"/>
        <a:ea typeface=""/>
        <a:cs typeface=""/>
      </a:majorFont>
      <a:minorFont>
        <a:latin typeface="Grandview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FD3922-7803-4400-93D2-3DA36E990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1357</Words>
  <Characters>7333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Qualidade</dc:creator>
  <cp:keywords/>
  <dc:description/>
  <cp:lastModifiedBy>Qualidade</cp:lastModifiedBy>
  <cp:revision>5</cp:revision>
  <cp:lastPrinted>2022-11-22T08:40:00Z</cp:lastPrinted>
  <dcterms:created xsi:type="dcterms:W3CDTF">2026-01-07T12:37:00Z</dcterms:created>
  <dcterms:modified xsi:type="dcterms:W3CDTF">2026-01-07T14:17:00Z</dcterms:modified>
</cp:coreProperties>
</file>